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7" w:rsidRPr="00DD39F7" w:rsidRDefault="00DD39F7" w:rsidP="00DD39F7">
      <w:pPr>
        <w:jc w:val="both"/>
        <w:rPr>
          <w:sz w:val="24"/>
          <w:szCs w:val="24"/>
        </w:rPr>
      </w:pPr>
      <w:r w:rsidRPr="00DD39F7">
        <w:rPr>
          <w:rFonts w:cs="Times New Roman"/>
          <w:b/>
          <w:sz w:val="24"/>
          <w:szCs w:val="24"/>
        </w:rPr>
        <w:t xml:space="preserve">SAVJETOVANJE SA ZAINTERESIRANOM JAVNOŠĆU U POSTUPKU </w:t>
      </w:r>
    </w:p>
    <w:p w:rsidR="00DD39F7" w:rsidRPr="00DD39F7" w:rsidRDefault="00DD39F7" w:rsidP="00DD39F7">
      <w:pPr>
        <w:jc w:val="both"/>
        <w:rPr>
          <w:sz w:val="24"/>
          <w:szCs w:val="24"/>
        </w:rPr>
      </w:pPr>
      <w:r w:rsidRPr="00DD39F7">
        <w:rPr>
          <w:rFonts w:cs="Times New Roman"/>
          <w:b/>
          <w:sz w:val="24"/>
          <w:szCs w:val="24"/>
        </w:rPr>
        <w:t xml:space="preserve">DONOŠENJA ODLUKE O KOMUNALNOM DOPRINOSU </w:t>
      </w:r>
    </w:p>
    <w:p w:rsidR="00DD39F7" w:rsidRPr="00DD39F7" w:rsidRDefault="00DD39F7" w:rsidP="00DD39F7">
      <w:pPr>
        <w:spacing w:before="69"/>
        <w:jc w:val="both"/>
        <w:rPr>
          <w:sz w:val="24"/>
          <w:szCs w:val="24"/>
        </w:rPr>
      </w:pPr>
      <w:r w:rsidRPr="00DD39F7">
        <w:rPr>
          <w:rFonts w:cs="Times New Roman"/>
          <w:b/>
          <w:sz w:val="24"/>
          <w:szCs w:val="24"/>
        </w:rPr>
        <w:t xml:space="preserve">OBRAZLOŽENJE PRIJEDLOGA ODLUKE </w:t>
      </w:r>
    </w:p>
    <w:p w:rsidR="00DD39F7" w:rsidRPr="00DD39F7" w:rsidRDefault="00DD39F7" w:rsidP="00DD39F7">
      <w:pPr>
        <w:pStyle w:val="Naslov1"/>
        <w:spacing w:before="3"/>
        <w:rPr>
          <w:b/>
        </w:rPr>
      </w:pPr>
    </w:p>
    <w:p w:rsidR="00DD39F7" w:rsidRPr="00DD39F7" w:rsidRDefault="00DD39F7" w:rsidP="00DD39F7">
      <w:pPr>
        <w:ind w:left="118" w:right="107" w:firstLine="708"/>
        <w:jc w:val="both"/>
        <w:rPr>
          <w:b/>
          <w:sz w:val="24"/>
          <w:szCs w:val="24"/>
        </w:rPr>
      </w:pPr>
    </w:p>
    <w:p w:rsidR="00DD39F7" w:rsidRPr="00DD39F7" w:rsidRDefault="00DD39F7" w:rsidP="00DD39F7">
      <w:pPr>
        <w:pStyle w:val="Tijeloteksta"/>
        <w:spacing w:before="1"/>
        <w:ind w:right="110" w:firstLine="708"/>
        <w:rPr>
          <w:szCs w:val="24"/>
        </w:rPr>
      </w:pPr>
      <w:r w:rsidRPr="00DD39F7">
        <w:rPr>
          <w:szCs w:val="24"/>
        </w:rPr>
        <w:t>Prijedlozi, komentari i primjedbe moraju sadržavati adresu podnositelja i biti čitko napisani, uz jasno navođenje dijela  prijed</w:t>
      </w:r>
      <w:r>
        <w:rPr>
          <w:szCs w:val="24"/>
        </w:rPr>
        <w:t>loga Odluke na kojeg se odnose</w:t>
      </w:r>
      <w:r w:rsidRPr="00DD39F7">
        <w:rPr>
          <w:szCs w:val="24"/>
        </w:rPr>
        <w:t xml:space="preserve"> te biti dostavljeni u gore navedenom roku.</w:t>
      </w:r>
    </w:p>
    <w:p w:rsidR="00DD39F7" w:rsidRPr="00DD39F7" w:rsidRDefault="00DD39F7" w:rsidP="00DD39F7">
      <w:pPr>
        <w:pStyle w:val="Tijeloteksta"/>
        <w:ind w:right="107" w:firstLine="708"/>
        <w:rPr>
          <w:szCs w:val="24"/>
        </w:rPr>
      </w:pPr>
      <w:r w:rsidRPr="00DD39F7">
        <w:rPr>
          <w:szCs w:val="24"/>
        </w:rPr>
        <w:t>Po završetku savjetovanja, svi pristigli prijedlozi, primjedbe i komentari bit će javno dostupni n</w:t>
      </w:r>
      <w:r>
        <w:rPr>
          <w:szCs w:val="24"/>
        </w:rPr>
        <w:t>a mrežnoj stranici Općine Negoslavci</w:t>
      </w:r>
      <w:r w:rsidRPr="00DD39F7">
        <w:rPr>
          <w:szCs w:val="24"/>
        </w:rPr>
        <w:t>. Ukoliko ne želite da Vaši prijedlozi, primjedbe i komentari budu javno objavljeni, molimo da to jasno istaknete pri slanju prijedloga.</w:t>
      </w:r>
    </w:p>
    <w:p w:rsidR="00DD39F7" w:rsidRPr="00DD39F7" w:rsidRDefault="00DD39F7" w:rsidP="00DD39F7">
      <w:pPr>
        <w:pStyle w:val="Tijeloteksta"/>
        <w:rPr>
          <w:szCs w:val="24"/>
        </w:rPr>
      </w:pPr>
    </w:p>
    <w:p w:rsidR="00DD39F7" w:rsidRPr="00DD39F7" w:rsidRDefault="00DD39F7" w:rsidP="00DD39F7">
      <w:pPr>
        <w:pStyle w:val="Tijeloteksta"/>
        <w:ind w:right="107" w:firstLine="708"/>
        <w:rPr>
          <w:szCs w:val="24"/>
        </w:rPr>
      </w:pPr>
      <w:r w:rsidRPr="00DD39F7">
        <w:rPr>
          <w:szCs w:val="24"/>
        </w:rPr>
        <w:t xml:space="preserve">Nacrt prijedloga Odluke o komunalnom doprinosu objavljen je u elektroničkom obliku na </w:t>
      </w:r>
      <w:r>
        <w:rPr>
          <w:szCs w:val="24"/>
        </w:rPr>
        <w:t>mrežnim stranicama Općine Negoslavci</w:t>
      </w:r>
      <w:r w:rsidRPr="00DD39F7">
        <w:rPr>
          <w:szCs w:val="24"/>
        </w:rPr>
        <w:t xml:space="preserve"> i predstavlja radni materijal pa je kao takav podložan ispravcima, izmjenama i dopunama te se ne može smatrati konačnim, u cijelosti dovršenim prijedlogom Odluke.</w:t>
      </w:r>
    </w:p>
    <w:p w:rsidR="00DD39F7" w:rsidRPr="00DD39F7" w:rsidRDefault="00DD39F7" w:rsidP="00DD39F7">
      <w:pPr>
        <w:pStyle w:val="Tijeloteksta"/>
        <w:ind w:right="110" w:firstLine="708"/>
        <w:rPr>
          <w:szCs w:val="24"/>
        </w:rPr>
      </w:pPr>
      <w:r w:rsidRPr="00DD39F7">
        <w:rPr>
          <w:szCs w:val="24"/>
        </w:rPr>
        <w:t xml:space="preserve">Tekst ove objave objavit će se na </w:t>
      </w:r>
      <w:r>
        <w:rPr>
          <w:szCs w:val="24"/>
        </w:rPr>
        <w:t>mrežnim stranicama Općine Negoslavci</w:t>
      </w:r>
      <w:r w:rsidRPr="00DD39F7">
        <w:rPr>
          <w:szCs w:val="24"/>
        </w:rPr>
        <w:t xml:space="preserve"> u rubrici</w:t>
      </w:r>
      <w:r>
        <w:rPr>
          <w:szCs w:val="24"/>
        </w:rPr>
        <w:t xml:space="preserve"> akti načelnika</w:t>
      </w:r>
      <w:r w:rsidRPr="00DD39F7">
        <w:rPr>
          <w:szCs w:val="24"/>
        </w:rPr>
        <w:t>.</w:t>
      </w:r>
    </w:p>
    <w:p w:rsidR="00DD39F7" w:rsidRPr="00DD39F7" w:rsidRDefault="00DD39F7" w:rsidP="00DD39F7">
      <w:pPr>
        <w:pStyle w:val="Tijeloteksta"/>
        <w:ind w:right="109" w:firstLine="708"/>
        <w:rPr>
          <w:szCs w:val="24"/>
        </w:rPr>
      </w:pPr>
      <w:r w:rsidRPr="00DD39F7">
        <w:rPr>
          <w:szCs w:val="24"/>
        </w:rPr>
        <w:t>Po provedenom savjetovanju, Jedinst</w:t>
      </w:r>
      <w:r>
        <w:rPr>
          <w:szCs w:val="24"/>
        </w:rPr>
        <w:t>veni upravni odjel Općine Negoslavci</w:t>
      </w:r>
      <w:r w:rsidRPr="00DD39F7">
        <w:rPr>
          <w:szCs w:val="24"/>
        </w:rPr>
        <w:t xml:space="preserve"> izvijestit će o rezultatima savjetovanja Općinskog načelnika .</w:t>
      </w:r>
    </w:p>
    <w:p w:rsidR="00DD39F7" w:rsidRPr="00DD39F7" w:rsidRDefault="00DD39F7" w:rsidP="00DD39F7">
      <w:pPr>
        <w:pStyle w:val="Tijeloteksta"/>
        <w:spacing w:before="5"/>
        <w:rPr>
          <w:szCs w:val="24"/>
        </w:rPr>
      </w:pPr>
    </w:p>
    <w:p w:rsidR="00DD39F7" w:rsidRDefault="00DD39F7" w:rsidP="00DD39F7">
      <w:pPr>
        <w:pStyle w:val="Naslov1"/>
        <w:ind w:left="3665" w:firstLine="0"/>
      </w:pPr>
      <w:r w:rsidRPr="00DD39F7">
        <w:t>O b r a z l o ž e nj e</w:t>
      </w:r>
    </w:p>
    <w:p w:rsidR="00DD39F7" w:rsidRPr="00DD39F7" w:rsidRDefault="00DD39F7" w:rsidP="00DD39F7">
      <w:pPr>
        <w:rPr>
          <w:lang w:val="hr-HR"/>
        </w:rPr>
      </w:pPr>
    </w:p>
    <w:p w:rsidR="00DD39F7" w:rsidRPr="00DD39F7" w:rsidRDefault="00DD39F7" w:rsidP="00DD39F7">
      <w:pPr>
        <w:pStyle w:val="Tijeloteksta"/>
        <w:ind w:right="107" w:firstLine="708"/>
        <w:rPr>
          <w:szCs w:val="24"/>
        </w:rPr>
      </w:pPr>
      <w:r w:rsidRPr="00DD39F7">
        <w:rPr>
          <w:szCs w:val="24"/>
        </w:rPr>
        <w:t>Na temelju članka 78. i 130. Zakona o komunalnom gospodarstvu (</w:t>
      </w:r>
      <w:r>
        <w:rPr>
          <w:szCs w:val="24"/>
        </w:rPr>
        <w:t>„</w:t>
      </w:r>
      <w:r w:rsidRPr="00DD39F7">
        <w:rPr>
          <w:szCs w:val="24"/>
        </w:rPr>
        <w:t>Narodne novine</w:t>
      </w:r>
      <w:r>
        <w:rPr>
          <w:szCs w:val="24"/>
        </w:rPr>
        <w:t>“ br.</w:t>
      </w:r>
      <w:r w:rsidRPr="00DD39F7">
        <w:rPr>
          <w:szCs w:val="24"/>
        </w:rPr>
        <w:t xml:space="preserve"> 68/18</w:t>
      </w:r>
      <w:r>
        <w:rPr>
          <w:szCs w:val="24"/>
        </w:rPr>
        <w:t xml:space="preserve"> i 110/18</w:t>
      </w:r>
      <w:r w:rsidRPr="00DD39F7">
        <w:rPr>
          <w:szCs w:val="24"/>
        </w:rPr>
        <w:t>) predstavničko tijelo jedinice lokalne samouprave dužno je donijeti odluku o komunalnom doprinosu u roku od šest mjeseci od dana stupanja na snagu Zakona.</w:t>
      </w:r>
    </w:p>
    <w:p w:rsidR="00DD39F7" w:rsidRPr="00DD39F7" w:rsidRDefault="00DD39F7" w:rsidP="00DD39F7">
      <w:pPr>
        <w:pStyle w:val="Tijeloteksta"/>
        <w:ind w:right="108" w:firstLine="708"/>
        <w:rPr>
          <w:szCs w:val="24"/>
        </w:rPr>
      </w:pPr>
      <w:r>
        <w:rPr>
          <w:szCs w:val="24"/>
        </w:rPr>
        <w:t>Na području Općine Negoslavci</w:t>
      </w:r>
      <w:r w:rsidRPr="00DD39F7">
        <w:rPr>
          <w:szCs w:val="24"/>
        </w:rPr>
        <w:t xml:space="preserve"> n</w:t>
      </w:r>
      <w:r>
        <w:rPr>
          <w:szCs w:val="24"/>
        </w:rPr>
        <w:t xml:space="preserve">a snazi je Odluka visini komunalnog doprinosa </w:t>
      </w:r>
      <w:r w:rsidRPr="00DD39F7">
        <w:rPr>
          <w:szCs w:val="24"/>
        </w:rPr>
        <w:t>(</w:t>
      </w:r>
      <w:r>
        <w:rPr>
          <w:szCs w:val="24"/>
        </w:rPr>
        <w:t xml:space="preserve">„Službeni vjesnik“ VSŽ </w:t>
      </w:r>
      <w:r>
        <w:rPr>
          <w:rFonts w:eastAsiaTheme="minorHAnsi" w:cstheme="minorBidi"/>
          <w:szCs w:val="22"/>
          <w:lang w:val="en-US" w:eastAsia="en-US"/>
        </w:rPr>
        <w:t>4/00,</w:t>
      </w:r>
      <w:r w:rsidRPr="00DD39F7">
        <w:rPr>
          <w:rFonts w:eastAsiaTheme="minorHAnsi" w:cstheme="minorBidi"/>
          <w:szCs w:val="22"/>
          <w:lang w:val="en-US" w:eastAsia="en-US"/>
        </w:rPr>
        <w:t xml:space="preserve"> 05/00, 03/05, 05/07 i 03/11</w:t>
      </w:r>
      <w:r w:rsidRPr="00DD39F7">
        <w:rPr>
          <w:szCs w:val="24"/>
        </w:rPr>
        <w:t>).</w:t>
      </w:r>
    </w:p>
    <w:p w:rsidR="00DD39F7" w:rsidRPr="00DD39F7" w:rsidRDefault="00DD39F7" w:rsidP="00DD39F7">
      <w:pPr>
        <w:pStyle w:val="Tijeloteksta"/>
        <w:ind w:right="112" w:firstLine="708"/>
        <w:rPr>
          <w:szCs w:val="24"/>
        </w:rPr>
      </w:pPr>
      <w:r w:rsidRPr="00DD39F7">
        <w:rPr>
          <w:szCs w:val="24"/>
        </w:rPr>
        <w:t>Novim Zakonom propisano je da predstavničko tijelo jedinice lokalne samouprave donosi odluku o komunalnom doprinosu kojom se određuju:</w:t>
      </w:r>
    </w:p>
    <w:p w:rsidR="00DD39F7" w:rsidRPr="00DD39F7" w:rsidRDefault="00DD39F7" w:rsidP="00DD39F7">
      <w:pPr>
        <w:pStyle w:val="Odlomakpopisa1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 w:rsidRPr="00DD39F7">
        <w:rPr>
          <w:sz w:val="24"/>
          <w:szCs w:val="24"/>
        </w:rPr>
        <w:t>zone u jedinici lokalne samouprave za plaćanje komunalnog</w:t>
      </w:r>
      <w:r>
        <w:rPr>
          <w:sz w:val="24"/>
          <w:szCs w:val="24"/>
        </w:rPr>
        <w:t xml:space="preserve"> </w:t>
      </w:r>
      <w:r w:rsidRPr="00DD39F7">
        <w:rPr>
          <w:spacing w:val="-11"/>
          <w:sz w:val="24"/>
          <w:szCs w:val="24"/>
        </w:rPr>
        <w:t>doprinosa</w:t>
      </w:r>
      <w:r>
        <w:rPr>
          <w:spacing w:val="-11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2"/>
        </w:numPr>
        <w:tabs>
          <w:tab w:val="left" w:pos="1187"/>
        </w:tabs>
        <w:ind w:right="110"/>
        <w:rPr>
          <w:sz w:val="24"/>
          <w:szCs w:val="24"/>
        </w:rPr>
      </w:pPr>
      <w:r w:rsidRPr="00DD39F7">
        <w:rPr>
          <w:color w:val="221E1F"/>
          <w:sz w:val="24"/>
          <w:szCs w:val="24"/>
        </w:rPr>
        <w:t>jedinična vrijednost komunalnog doprinosa po pojedinim zonama u jedinici lokalne</w:t>
      </w:r>
      <w:r>
        <w:rPr>
          <w:color w:val="221E1F"/>
          <w:sz w:val="24"/>
          <w:szCs w:val="24"/>
        </w:rPr>
        <w:t xml:space="preserve"> </w:t>
      </w:r>
      <w:r w:rsidRPr="00DD39F7">
        <w:rPr>
          <w:color w:val="221E1F"/>
          <w:spacing w:val="-2"/>
          <w:sz w:val="24"/>
          <w:szCs w:val="24"/>
        </w:rPr>
        <w:t>samouprave</w:t>
      </w:r>
      <w:r>
        <w:rPr>
          <w:color w:val="221E1F"/>
          <w:spacing w:val="-2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2"/>
        </w:numPr>
        <w:tabs>
          <w:tab w:val="left" w:pos="1187"/>
        </w:tabs>
        <w:rPr>
          <w:sz w:val="24"/>
          <w:szCs w:val="24"/>
        </w:rPr>
      </w:pPr>
      <w:r w:rsidRPr="00DD39F7">
        <w:rPr>
          <w:color w:val="221E1F"/>
          <w:sz w:val="24"/>
          <w:szCs w:val="24"/>
        </w:rPr>
        <w:t>način i rokovi plaćanja komunalnog</w:t>
      </w:r>
      <w:r>
        <w:rPr>
          <w:color w:val="221E1F"/>
          <w:sz w:val="24"/>
          <w:szCs w:val="24"/>
        </w:rPr>
        <w:t xml:space="preserve"> </w:t>
      </w:r>
      <w:r w:rsidRPr="00DD39F7">
        <w:rPr>
          <w:color w:val="221E1F"/>
          <w:spacing w:val="-5"/>
          <w:sz w:val="24"/>
          <w:szCs w:val="24"/>
        </w:rPr>
        <w:t>doprinosa</w:t>
      </w:r>
      <w:r>
        <w:rPr>
          <w:color w:val="221E1F"/>
          <w:spacing w:val="-5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2"/>
        </w:numPr>
        <w:tabs>
          <w:tab w:val="left" w:pos="1187"/>
        </w:tabs>
        <w:ind w:right="111"/>
        <w:rPr>
          <w:sz w:val="24"/>
          <w:szCs w:val="24"/>
        </w:rPr>
      </w:pPr>
      <w:r w:rsidRPr="00DD39F7">
        <w:rPr>
          <w:color w:val="221E1F"/>
          <w:sz w:val="24"/>
          <w:szCs w:val="24"/>
        </w:rPr>
        <w:t>opći uvjeti i razlozi zbog kojih se u pojedinačnim slučajevima odobrava djelomično ili potpuno oslobađanje od plaćanja komunalnog</w:t>
      </w:r>
      <w:r>
        <w:rPr>
          <w:color w:val="221E1F"/>
          <w:sz w:val="24"/>
          <w:szCs w:val="24"/>
        </w:rPr>
        <w:t xml:space="preserve"> </w:t>
      </w:r>
      <w:r w:rsidRPr="00DD39F7">
        <w:rPr>
          <w:color w:val="221E1F"/>
          <w:spacing w:val="-9"/>
          <w:sz w:val="24"/>
          <w:szCs w:val="24"/>
        </w:rPr>
        <w:t>doprinosa.</w:t>
      </w:r>
    </w:p>
    <w:p w:rsidR="00DD39F7" w:rsidRPr="00DD39F7" w:rsidRDefault="00DD39F7" w:rsidP="00DD39F7">
      <w:pPr>
        <w:pStyle w:val="Odlomakpopisa1"/>
        <w:tabs>
          <w:tab w:val="left" w:pos="1187"/>
        </w:tabs>
        <w:ind w:left="1186" w:right="111" w:firstLine="0"/>
        <w:rPr>
          <w:sz w:val="24"/>
          <w:szCs w:val="24"/>
        </w:rPr>
      </w:pPr>
    </w:p>
    <w:p w:rsidR="00DD39F7" w:rsidRPr="00DD39F7" w:rsidRDefault="00DD39F7" w:rsidP="00DD39F7">
      <w:pPr>
        <w:pStyle w:val="Tijeloteksta"/>
        <w:ind w:right="108" w:firstLine="708"/>
        <w:rPr>
          <w:szCs w:val="24"/>
        </w:rPr>
      </w:pPr>
      <w:r w:rsidRPr="00DD39F7">
        <w:rPr>
          <w:szCs w:val="24"/>
        </w:rPr>
        <w:t>Prema Zakonu o komunalnom gospodarstvu, komunalni doprinos je novčano javno davanje koje se plaća za korištenje komunalne infrastrukture na području cijele jedinice lokalne samouprave i položajne pogodnosti građevinskog zemljišta u naselju prilikom građenja ili ozakonjenja građevine. Komunalni doprinos je prihod proračuna jedinice lokalne samouprave koji se koristi samo za financiranje građenja i održavanja komunalne infrastrukture.</w:t>
      </w:r>
    </w:p>
    <w:p w:rsidR="00DD39F7" w:rsidRPr="00DD39F7" w:rsidRDefault="00DD39F7" w:rsidP="00DD39F7">
      <w:pPr>
        <w:pStyle w:val="Tijeloteksta"/>
        <w:ind w:right="111" w:firstLine="707"/>
        <w:rPr>
          <w:szCs w:val="24"/>
        </w:rPr>
      </w:pPr>
      <w:r w:rsidRPr="00DD39F7">
        <w:rPr>
          <w:szCs w:val="24"/>
        </w:rPr>
        <w:t>Člankom 59. Zakona o komunalnom gospodarstvu definirano je što se smatra komunalna infrastruktura: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>nerazvrstane ceste</w:t>
      </w:r>
      <w:r>
        <w:rPr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>javne prometne površine na kojima nije dopušten promet motornih</w:t>
      </w:r>
      <w:r>
        <w:rPr>
          <w:sz w:val="24"/>
          <w:szCs w:val="24"/>
        </w:rPr>
        <w:t xml:space="preserve"> </w:t>
      </w:r>
      <w:r w:rsidRPr="00DD39F7">
        <w:rPr>
          <w:spacing w:val="-7"/>
          <w:sz w:val="24"/>
          <w:szCs w:val="24"/>
        </w:rPr>
        <w:t>vozila</w:t>
      </w:r>
      <w:r>
        <w:rPr>
          <w:spacing w:val="-7"/>
          <w:sz w:val="24"/>
          <w:szCs w:val="24"/>
        </w:rPr>
        <w:t xml:space="preserve"> 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Pr="00DD39F7">
        <w:rPr>
          <w:sz w:val="24"/>
          <w:szCs w:val="24"/>
        </w:rPr>
        <w:t xml:space="preserve">avna </w:t>
      </w:r>
      <w:r w:rsidRPr="00DD39F7">
        <w:rPr>
          <w:spacing w:val="-2"/>
          <w:sz w:val="24"/>
          <w:szCs w:val="24"/>
        </w:rPr>
        <w:t>parkirališta</w:t>
      </w:r>
      <w:r>
        <w:rPr>
          <w:spacing w:val="-2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>javne garaže</w:t>
      </w:r>
      <w:r>
        <w:rPr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>javne zelene</w:t>
      </w:r>
      <w:r>
        <w:rPr>
          <w:sz w:val="24"/>
          <w:szCs w:val="24"/>
        </w:rPr>
        <w:t xml:space="preserve"> </w:t>
      </w:r>
      <w:r w:rsidRPr="00DD39F7">
        <w:rPr>
          <w:spacing w:val="-3"/>
          <w:sz w:val="24"/>
          <w:szCs w:val="24"/>
        </w:rPr>
        <w:t>površine</w:t>
      </w:r>
      <w:r>
        <w:rPr>
          <w:spacing w:val="-3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spacing w:before="1"/>
        <w:rPr>
          <w:sz w:val="24"/>
          <w:szCs w:val="24"/>
        </w:rPr>
      </w:pPr>
      <w:r w:rsidRPr="00DD39F7">
        <w:rPr>
          <w:sz w:val="24"/>
          <w:szCs w:val="24"/>
        </w:rPr>
        <w:t xml:space="preserve">građevine i uređaji javne </w:t>
      </w:r>
      <w:r w:rsidRPr="00DD39F7">
        <w:rPr>
          <w:spacing w:val="-1"/>
          <w:sz w:val="24"/>
          <w:szCs w:val="24"/>
        </w:rPr>
        <w:t>namjene</w:t>
      </w:r>
      <w:r>
        <w:rPr>
          <w:spacing w:val="-1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 xml:space="preserve">javna </w:t>
      </w:r>
      <w:r w:rsidRPr="00DD39F7">
        <w:rPr>
          <w:spacing w:val="-2"/>
          <w:sz w:val="24"/>
          <w:szCs w:val="24"/>
        </w:rPr>
        <w:t>rasvjeta</w:t>
      </w:r>
      <w:r>
        <w:rPr>
          <w:spacing w:val="-2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 xml:space="preserve">groblja i krematoriji na </w:t>
      </w:r>
      <w:r w:rsidRPr="00DD39F7">
        <w:rPr>
          <w:spacing w:val="-1"/>
          <w:sz w:val="24"/>
          <w:szCs w:val="24"/>
        </w:rPr>
        <w:t>grobljima</w:t>
      </w:r>
      <w:r>
        <w:rPr>
          <w:spacing w:val="-1"/>
          <w:sz w:val="24"/>
          <w:szCs w:val="24"/>
        </w:rPr>
        <w:t>,</w:t>
      </w:r>
    </w:p>
    <w:p w:rsidR="00DD39F7" w:rsidRPr="00DD39F7" w:rsidRDefault="00DD39F7" w:rsidP="00DD39F7">
      <w:pPr>
        <w:pStyle w:val="Odlomakpopisa1"/>
        <w:numPr>
          <w:ilvl w:val="0"/>
          <w:numId w:val="3"/>
        </w:numPr>
        <w:tabs>
          <w:tab w:val="left" w:pos="839"/>
        </w:tabs>
        <w:rPr>
          <w:sz w:val="24"/>
          <w:szCs w:val="24"/>
        </w:rPr>
      </w:pPr>
      <w:r w:rsidRPr="00DD39F7">
        <w:rPr>
          <w:sz w:val="24"/>
          <w:szCs w:val="24"/>
        </w:rPr>
        <w:t xml:space="preserve">građevine namijenjene obavljanju javnog </w:t>
      </w:r>
      <w:r w:rsidRPr="00DD39F7">
        <w:rPr>
          <w:spacing w:val="-6"/>
          <w:sz w:val="24"/>
          <w:szCs w:val="24"/>
        </w:rPr>
        <w:t>prijevoza.</w:t>
      </w:r>
    </w:p>
    <w:p w:rsidR="00DD39F7" w:rsidRPr="00DD39F7" w:rsidRDefault="00DD39F7" w:rsidP="00DD39F7">
      <w:pPr>
        <w:pStyle w:val="Odlomakpopisa1"/>
        <w:tabs>
          <w:tab w:val="left" w:pos="839"/>
        </w:tabs>
        <w:rPr>
          <w:sz w:val="24"/>
          <w:szCs w:val="24"/>
        </w:rPr>
      </w:pPr>
    </w:p>
    <w:p w:rsidR="00DD39F7" w:rsidRPr="00DD39F7" w:rsidRDefault="00DD39F7" w:rsidP="00DD39F7">
      <w:pPr>
        <w:pStyle w:val="Tijeloteksta"/>
        <w:ind w:right="109" w:firstLine="720"/>
        <w:rPr>
          <w:szCs w:val="24"/>
        </w:rPr>
      </w:pPr>
      <w:r w:rsidRPr="00DD39F7">
        <w:rPr>
          <w:szCs w:val="24"/>
        </w:rPr>
        <w:t>Osim prethodno navedenog, predstavničko tijelo jedinice lokalne samouprave može odlukom odrediti i druge gra</w:t>
      </w:r>
      <w:r>
        <w:rPr>
          <w:szCs w:val="24"/>
        </w:rPr>
        <w:t>đevine komunalne infrastrukture</w:t>
      </w:r>
      <w:r w:rsidRPr="00DD39F7">
        <w:rPr>
          <w:szCs w:val="24"/>
        </w:rPr>
        <w:t xml:space="preserve"> ako služe za obavljanje komunalne djelatnosti.</w:t>
      </w:r>
    </w:p>
    <w:p w:rsidR="00DD39F7" w:rsidRPr="00DD39F7" w:rsidRDefault="00DD39F7" w:rsidP="00DD39F7">
      <w:pPr>
        <w:pStyle w:val="Tijeloteksta"/>
        <w:ind w:right="106" w:firstLine="708"/>
        <w:rPr>
          <w:szCs w:val="24"/>
        </w:rPr>
      </w:pPr>
      <w:r w:rsidRPr="00DD39F7">
        <w:rPr>
          <w:color w:val="221E1F"/>
          <w:szCs w:val="24"/>
        </w:rPr>
        <w:t xml:space="preserve">Komunalni doprinos za zgrade obračunava se množenjem obujma zgrade koja se gradi ili je izgrađena izraženog u kubnim metrima (m³) s jediničnom vrijednošću komunalnog doprinosa u zoni u kojoj se zgrada gradi ili je izgrađena. 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</w:t>
      </w:r>
      <w:r w:rsidRPr="00DD39F7">
        <w:rPr>
          <w:color w:val="221E1F"/>
          <w:spacing w:val="-6"/>
          <w:szCs w:val="24"/>
        </w:rPr>
        <w:t>izgrađena.</w:t>
      </w:r>
    </w:p>
    <w:p w:rsidR="00DD39F7" w:rsidRPr="00DD39F7" w:rsidRDefault="00DD39F7" w:rsidP="00DD39F7">
      <w:pPr>
        <w:pStyle w:val="Tijeloteksta"/>
        <w:ind w:right="110" w:firstLine="708"/>
        <w:rPr>
          <w:szCs w:val="24"/>
        </w:rPr>
      </w:pPr>
      <w:r w:rsidRPr="00DD39F7">
        <w:rPr>
          <w:szCs w:val="24"/>
        </w:rPr>
        <w:t xml:space="preserve">Predloženom Odlukom ne mijenjaju se područja zona. </w:t>
      </w:r>
    </w:p>
    <w:p w:rsidR="00DD39F7" w:rsidRPr="00DD39F7" w:rsidRDefault="00DD39F7" w:rsidP="00DD39F7">
      <w:pPr>
        <w:pStyle w:val="Tijeloteksta"/>
        <w:ind w:right="111" w:firstLine="708"/>
        <w:rPr>
          <w:szCs w:val="24"/>
        </w:rPr>
      </w:pPr>
      <w:r w:rsidRPr="00DD39F7">
        <w:rPr>
          <w:szCs w:val="24"/>
        </w:rPr>
        <w:t xml:space="preserve">Nadalje, predloženom Odlukom su određeni </w:t>
      </w:r>
      <w:r w:rsidRPr="00DD39F7">
        <w:rPr>
          <w:color w:val="221E1F"/>
          <w:szCs w:val="24"/>
        </w:rPr>
        <w:t>opći uvjeti i razlozi zbog kojih se u pojedinačnim slučajevima odobrava djelomično ili potpuno oslobađanje od plaćanja komunalnog doprinosa.</w:t>
      </w:r>
    </w:p>
    <w:p w:rsidR="00DD39F7" w:rsidRPr="00DD39F7" w:rsidRDefault="00DD39F7" w:rsidP="00DD39F7">
      <w:pPr>
        <w:pStyle w:val="Tijeloteksta"/>
        <w:ind w:right="109" w:firstLine="708"/>
        <w:rPr>
          <w:szCs w:val="24"/>
        </w:rPr>
      </w:pPr>
      <w:r w:rsidRPr="00DD39F7">
        <w:rPr>
          <w:szCs w:val="24"/>
        </w:rPr>
        <w:t>Kako se predloženom Odlukom utječe na interese građana i pravnih osoba, sukladno odredbama članka 11. Zakona o pravu na pristup informacijama (</w:t>
      </w:r>
      <w:r w:rsidR="0094561B">
        <w:rPr>
          <w:szCs w:val="24"/>
        </w:rPr>
        <w:t>„</w:t>
      </w:r>
      <w:r w:rsidRPr="00DD39F7">
        <w:rPr>
          <w:szCs w:val="24"/>
        </w:rPr>
        <w:t>Narodne novine</w:t>
      </w:r>
      <w:r w:rsidR="0094561B">
        <w:rPr>
          <w:szCs w:val="24"/>
        </w:rPr>
        <w:t>“ br.</w:t>
      </w:r>
      <w:r w:rsidRPr="00DD39F7">
        <w:rPr>
          <w:szCs w:val="24"/>
        </w:rPr>
        <w:t xml:space="preserve"> 25/13 i 85/15) i Kodeksa savjetovanja sa zainteresiranom javnošću u postupcima donošenja zakona, drugih propisa i akata (</w:t>
      </w:r>
      <w:r w:rsidR="0094561B">
        <w:rPr>
          <w:szCs w:val="24"/>
        </w:rPr>
        <w:t>„Narodne novine“ br.</w:t>
      </w:r>
      <w:r w:rsidRPr="00DD39F7">
        <w:rPr>
          <w:szCs w:val="24"/>
        </w:rPr>
        <w:t xml:space="preserve"> 140/09) provodi se savjetovanje i uključivanje javnosti u postupak donošenja u svrhu prikupljanja informacija o interesima, stavovima i prijedlozima javnosti. </w:t>
      </w:r>
    </w:p>
    <w:p w:rsidR="00DD39F7" w:rsidRPr="00DD39F7" w:rsidRDefault="00DD39F7" w:rsidP="0094561B">
      <w:pPr>
        <w:pStyle w:val="Tijeloteksta"/>
        <w:ind w:right="109"/>
        <w:rPr>
          <w:szCs w:val="24"/>
        </w:rPr>
      </w:pPr>
    </w:p>
    <w:p w:rsidR="00DD39F7" w:rsidRPr="00DD39F7" w:rsidRDefault="00DD39F7" w:rsidP="00DD39F7">
      <w:pPr>
        <w:jc w:val="both"/>
        <w:rPr>
          <w:sz w:val="24"/>
          <w:szCs w:val="24"/>
        </w:rPr>
      </w:pPr>
      <w:r w:rsidRPr="00DD39F7">
        <w:rPr>
          <w:rFonts w:cs="Times New Roman"/>
          <w:b/>
          <w:bCs/>
          <w:sz w:val="24"/>
          <w:szCs w:val="24"/>
        </w:rPr>
        <w:t xml:space="preserve">PREDLAGATELJ: </w:t>
      </w:r>
      <w:r w:rsidR="0094561B">
        <w:rPr>
          <w:rFonts w:cs="Times New Roman"/>
          <w:sz w:val="24"/>
          <w:szCs w:val="24"/>
        </w:rPr>
        <w:t>O</w:t>
      </w:r>
      <w:r w:rsidRPr="00DD39F7">
        <w:rPr>
          <w:rFonts w:cs="Times New Roman"/>
          <w:sz w:val="24"/>
          <w:szCs w:val="24"/>
        </w:rPr>
        <w:t>pćinski načelnik</w:t>
      </w:r>
    </w:p>
    <w:p w:rsidR="00DD39F7" w:rsidRPr="00DD39F7" w:rsidRDefault="00DD39F7" w:rsidP="00DD39F7">
      <w:pPr>
        <w:jc w:val="both"/>
        <w:rPr>
          <w:rFonts w:cs="Times New Roman"/>
          <w:sz w:val="24"/>
          <w:szCs w:val="24"/>
        </w:rPr>
      </w:pPr>
    </w:p>
    <w:p w:rsidR="00DD39F7" w:rsidRPr="00DD39F7" w:rsidRDefault="00DD39F7" w:rsidP="00DD39F7">
      <w:pPr>
        <w:jc w:val="both"/>
        <w:rPr>
          <w:sz w:val="24"/>
          <w:szCs w:val="24"/>
        </w:rPr>
      </w:pPr>
      <w:r w:rsidRPr="00DD39F7">
        <w:rPr>
          <w:rFonts w:cs="Times New Roman"/>
          <w:b/>
          <w:bCs/>
          <w:sz w:val="24"/>
          <w:szCs w:val="24"/>
        </w:rPr>
        <w:t>SAVJETOVANJE SA ZAINTERESIRANOM JAVNOŠĆU putem obrazaca dostupnim na</w:t>
      </w:r>
      <w:r w:rsidR="0094561B">
        <w:rPr>
          <w:rFonts w:cs="Times New Roman"/>
          <w:b/>
          <w:bCs/>
          <w:sz w:val="24"/>
          <w:szCs w:val="24"/>
        </w:rPr>
        <w:t xml:space="preserve"> internet stranici Općine Negoslavci</w:t>
      </w:r>
      <w:r w:rsidRPr="00DD39F7">
        <w:rPr>
          <w:rFonts w:cs="Times New Roman"/>
          <w:b/>
          <w:bCs/>
          <w:sz w:val="24"/>
          <w:szCs w:val="24"/>
        </w:rPr>
        <w:t xml:space="preserve"> </w:t>
      </w:r>
      <w:hyperlink r:id="rId7" w:history="1">
        <w:r w:rsidR="0094561B" w:rsidRPr="0033753C">
          <w:rPr>
            <w:rStyle w:val="Hiperveza"/>
            <w:rFonts w:cs="Times New Roman"/>
            <w:b/>
            <w:bCs/>
            <w:sz w:val="24"/>
            <w:szCs w:val="24"/>
          </w:rPr>
          <w:t>www.opcina-negoslavci.hr</w:t>
        </w:r>
      </w:hyperlink>
      <w:r w:rsidRPr="00DD39F7">
        <w:rPr>
          <w:rFonts w:cs="Times New Roman"/>
          <w:b/>
          <w:bCs/>
          <w:sz w:val="24"/>
          <w:szCs w:val="24"/>
        </w:rPr>
        <w:t xml:space="preserve"> otvoreno je u vremenskom razdoblju od 29. siječnja 2019 god. do 13. veljače 2019 god.</w:t>
      </w:r>
    </w:p>
    <w:p w:rsidR="006601BF" w:rsidRPr="00DD39F7" w:rsidRDefault="006601BF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Pr="00DD39F7" w:rsidRDefault="00DD39F7">
      <w:pPr>
        <w:rPr>
          <w:sz w:val="24"/>
          <w:szCs w:val="24"/>
        </w:rPr>
      </w:pPr>
    </w:p>
    <w:p w:rsidR="00DD39F7" w:rsidRDefault="00DD39F7" w:rsidP="00DD39F7">
      <w:pPr>
        <w:jc w:val="right"/>
        <w:rPr>
          <w:b/>
          <w:sz w:val="24"/>
          <w:szCs w:val="24"/>
        </w:rPr>
      </w:pPr>
      <w:r w:rsidRPr="00DD39F7">
        <w:rPr>
          <w:b/>
          <w:sz w:val="24"/>
          <w:szCs w:val="24"/>
        </w:rPr>
        <w:lastRenderedPageBreak/>
        <w:t>PRIJEDLOG</w:t>
      </w:r>
    </w:p>
    <w:p w:rsidR="00DD39F7" w:rsidRDefault="00DD39F7" w:rsidP="00DD39F7">
      <w:pPr>
        <w:jc w:val="right"/>
        <w:rPr>
          <w:b/>
          <w:sz w:val="24"/>
          <w:szCs w:val="24"/>
        </w:rPr>
      </w:pPr>
    </w:p>
    <w:p w:rsidR="006A7A76" w:rsidRPr="006A7A76" w:rsidRDefault="00DD39F7" w:rsidP="006A7A76">
      <w:pPr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DD39F7">
        <w:rPr>
          <w:rFonts w:eastAsiaTheme="minorHAnsi" w:cstheme="minorBidi"/>
          <w:sz w:val="24"/>
          <w:szCs w:val="22"/>
          <w:lang w:val="en-US" w:eastAsia="en-US" w:bidi="ar-SA"/>
        </w:rPr>
        <w:tab/>
      </w:r>
      <w:r w:rsidR="006A7A76"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Na temelju članka 78. Zakona o komunalnom gospodarstvu (“Narodne novine” br. 68/18 i 110/18) i članka 19., točke 1. Statuta Općine Negoslavci (“Službeni vjesnik” VSŽ br. 12/18) Općinsko vijeće Općine Negoslavci na svojoj redovnoj sjednici održanoj dana 19.02.2019. godine donosi 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ODLUKU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o komunalnom doprinosu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ind w:firstLine="720"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Ovom Odlukom uređuju se pitanja u vezi komunalnog doprinosa na području Općine Negoslavci kao javnog davanja koje se plaća za korištenje komunalne infrastrukture kao i položajne pogodnosti građevinskog zemljišta u naselju prilikom građenja ili ozakonjenja građevine.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2.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Komunalni doprinos je novčano javno davanje koje se plaća za korištenje komunalne infrastrukture na području Općine Negoslavci i položajne pogodnosti građevinskog zemljišta u naselju prilikom građenja ili ozakonjenja građevine, ako Zakonom nije propisano drugačije.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3.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Komunalni doprinos je prihod proračuna Općine Negoslavci koji se koristi za financiranje građenja i održavanja komunalne infrastrukture.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Komunalni doprinos plaća vlasnik zemljišta na kojem se gradi građevina ili na kojoj se nalazi ozakonjena građevina, odnosno investitor ako je pisanim ugovorom na njega prenesena obveza plaćanja komunalnog doprinosa.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4.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Visina komunalnog doprinosa obračunava se ovisno o:</w:t>
      </w:r>
    </w:p>
    <w:p w:rsidR="006A7A76" w:rsidRPr="006A7A76" w:rsidRDefault="006A7A76" w:rsidP="006A7A76">
      <w:pPr>
        <w:numPr>
          <w:ilvl w:val="0"/>
          <w:numId w:val="9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 građevnoj zoni unutar koje se nalazi građevna čestica na kojoj se gradi građevina,</w:t>
      </w:r>
    </w:p>
    <w:p w:rsidR="006A7A76" w:rsidRPr="006A7A76" w:rsidRDefault="006A7A76" w:rsidP="006A7A76">
      <w:pPr>
        <w:numPr>
          <w:ilvl w:val="0"/>
          <w:numId w:val="9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obujmu objekta, odnosno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 koja se gradi na građevnoj čestici,</w:t>
      </w:r>
    </w:p>
    <w:p w:rsidR="006A7A76" w:rsidRPr="006A7A76" w:rsidRDefault="006A7A76" w:rsidP="006A7A76">
      <w:pPr>
        <w:numPr>
          <w:ilvl w:val="0"/>
          <w:numId w:val="9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činjenici da li se radi o izgradnji na građevnoj čestici ili dogradnji, odnosno nadogradnji objekta.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5.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Područje zona u Općini Negoslavci utvrđuje se kako slijedi.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I. građevna zona obuhvaća: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Vukovarska do ul. Oslobođenja i Milorada Šerbića,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Braće Nerandžića do grobljanskog puta,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Petrovačka do Partizanske (grobljanskog puta),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lastRenderedPageBreak/>
        <w:t>ul. Željeznička do puta (kućni br. 19/20).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II. građevna zona obuhvaća: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Vukovarska – nastavak od Milorada Šerbića i Oslobođenja, do kuć. br 93/98,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Braće Nerandžića – nastavak od grobljanskog puta do kraja ulice,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Petrovačka – nastavak,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Željeznička – nastavak,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Oslobođenja,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Milorada Šerbića.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III. građevna zona obuhvaća: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Vukovarska od kuć. br. 95/100 do kraja,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Starca Vujadina,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Radnička,</w:t>
      </w:r>
    </w:p>
    <w:p w:rsidR="006A7A76" w:rsidRPr="006A7A76" w:rsidRDefault="006A7A76" w:rsidP="006A7A76">
      <w:pPr>
        <w:numPr>
          <w:ilvl w:val="0"/>
          <w:numId w:val="6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ul. Partizanska.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6.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Komunalni doprinos obračunava se u skladu sa obujmom odnosno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 koja se gradi na građevnoj čestici.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Ako je obujam zgrade koja se gradi manji ili jednak obujmu postojeće zgrade koja se uklanja, ne plaća se komunalni doprinos, a o čemu nadležno tijelo donosi rješenje kojim se utvrđuje da ne postoji obveza plaćanja komunalnog dorpinosa.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7.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Vlasnici građevne čestice odnosno investitori obveznici su plaćanja komunalnog doprinosa u skladu sa slijedećim kriterijima: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osobe, vlasnici građevne čestice, odnosno investitori I. građevne zone plaćaju komunalni doprinos u iznosu od 2,00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građevine,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osobe, vlasnici građevne čestice, odnosno investitori II. građevne zone plaćaju komunalni doprinos u iznosu od 1,50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građevine,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osobe vlasnici građevne čestice, odnosno investitori III. građevne zone plaćaju komunalni doprinos u iznosu od 1,00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građevine,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ili pravne osobe vlasnici građevne čestice odnosno investitori građevine namijenjene obavljanju proizvodne, obrtničke ili bilo koje druge registrirane djelatnosti plaćaju komunalni doprinos u iznosu od 1,00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 koja se gradi na građevnoj čestici,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i pravne osobe vlasnici odnosno investitori na građevnoj čestici, za izgradnju stočnih farmi i garaža obveznici su plaćanja komunalnog doprinosa za izgradnju u visini od 1,00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građevine,</w:t>
      </w:r>
    </w:p>
    <w:p w:rsidR="006A7A76" w:rsidRPr="006A7A76" w:rsidRDefault="006A7A76" w:rsidP="006A7A76">
      <w:pPr>
        <w:numPr>
          <w:ilvl w:val="0"/>
          <w:numId w:val="7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fizičke i pravne osobe vlasnici odnosno investitori na građevnoj čestici, za izgradnju pomoćnih zgrada poljoprivredne namjene i sličnih građevina obveznici su plaćanja komunalnog doprinosa za izgradnju u visini od 1,00 kn po 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lastRenderedPageBreak/>
        <w:t>Članak 8.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Komunalni doprinos obračunava se množenjem obujma zgrade koja se gradi ili je izgrađena izraženog u kubnim metrima (m</w:t>
      </w:r>
      <w:r w:rsidRPr="006A7A76">
        <w:rPr>
          <w:rFonts w:eastAsiaTheme="minorHAnsi" w:cstheme="minorBidi"/>
          <w:sz w:val="24"/>
          <w:szCs w:val="22"/>
          <w:vertAlign w:val="superscript"/>
          <w:lang w:val="en-US" w:eastAsia="en-US" w:bidi="ar-SA"/>
        </w:rPr>
        <w:t>3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) s jediničnom vrijednošću komunalnog doprinosa u zoni u kojoj se zgrada gradi ili je izgrađena. 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9.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Rješenje o komunalnom doprinosu donosi Jedinstveni upravni odjel Općine Negoslavci.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Rješenje o komunalnom doprinosu sadrži:</w:t>
      </w:r>
    </w:p>
    <w:p w:rsidR="006A7A76" w:rsidRPr="006A7A76" w:rsidRDefault="006A7A76" w:rsidP="006A7A76">
      <w:pPr>
        <w:numPr>
          <w:ilvl w:val="0"/>
          <w:numId w:val="4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podatke o obvezniku komunalnog doprinosa,</w:t>
      </w:r>
    </w:p>
    <w:p w:rsidR="006A7A76" w:rsidRPr="006A7A76" w:rsidRDefault="006A7A76" w:rsidP="006A7A76">
      <w:pPr>
        <w:numPr>
          <w:ilvl w:val="0"/>
          <w:numId w:val="4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iznos sredstava komunalnog doprinosa koji je obveznik dužan platiti,</w:t>
      </w:r>
    </w:p>
    <w:p w:rsidR="006A7A76" w:rsidRPr="006A7A76" w:rsidRDefault="006A7A76" w:rsidP="006A7A76">
      <w:pPr>
        <w:numPr>
          <w:ilvl w:val="0"/>
          <w:numId w:val="4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obvezu, način i rokove plaćanja komunalnog doprinosa,</w:t>
      </w:r>
    </w:p>
    <w:p w:rsidR="006A7A76" w:rsidRPr="006A7A76" w:rsidRDefault="006A7A76" w:rsidP="006A7A76">
      <w:pPr>
        <w:numPr>
          <w:ilvl w:val="0"/>
          <w:numId w:val="4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prikaz načina obračuna komunalnog doprinosa za građevinu koja se gradi ili je izgrađena s iskazom obujma odnosno površine građevine i jedinične vrijednosti komunalnog doprinosa.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10.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Komunalni doprinos uplaćuje se u roku od 30 dana od dana pravomoćnosti Rješenja o komunalnom doprinosu.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Potvrdu o uplaćenom komunalnom doprinosu izdaje Jedinstveni upravni odjel Općine Negoslavci.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Protiv Rješenja o komunalnom doprinosu može se u roku od 15 dana podnijeti žalba upravnom tijelu VSŽ nadležnom za poslove komunalnog gospodarstva.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11.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Općina Negoslavci ne plaća komunalni doprinos na svom području.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Komunalni doprinos ne plaća se za građenje i ozakonjenje: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komunalne infrastrukture i vatrogasnih domova,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vojnih građevina,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prometne, vodne, pomorske, komunikacijske i elektroničke infrastrukture,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nadzemnih i podzemnih produktovoda i vodova,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sportskih i dječjih igrališta,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ograda, zidova i potpornih zidova,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parkirališta, cesta, staza, mostića, fontana, cisterna za vodu, septičkih jama, sunčanih kolektora, fotonaponskih modula na građevnoj čestici ili obuhvatu zahvata u prostoru postojeće građevine ili na postojećoj građevini, koji su namijenjeni uporabi te građevine,</w:t>
      </w:r>
    </w:p>
    <w:p w:rsidR="006A7A76" w:rsidRPr="006A7A76" w:rsidRDefault="006A7A76" w:rsidP="006A7A76">
      <w:pPr>
        <w:numPr>
          <w:ilvl w:val="0"/>
          <w:numId w:val="10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spomenika.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12.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Općinski načelnik Općine Negoslavci Odlukom može osloboditi od obveze plaćanja komunalnog doprinosa, djelomično ili u cijelosti, obveznike u slijedećim slučajevima: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lastRenderedPageBreak/>
        <w:t>kod izgradnje, dogradnje ili nadogradnje škole, vrtića, sportskih, vjerskih objekata,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kod izgradnje, dogradnje ili nadogradnje građevine radi otklanjanja posljedica više sile,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kod izgradnje, dogradnje ili nadogradnje na građevini koja služi obavljanju registrirane djelatnosti u slučajevima proširenja kapaciteta u smislu unapređenja gospodarskog razvoja Općine te upošljavanja novih uposlenika,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kod izgradnje, dogradnje ili nadogradnje građevine od šireg društvenog interesa,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kod izgradnje, dogradnje ili nadogradnje građevine od izuzetnog značaja za gospodarski razvoj Općine,</w:t>
      </w:r>
    </w:p>
    <w:p w:rsidR="006A7A76" w:rsidRPr="006A7A76" w:rsidRDefault="006A7A76" w:rsidP="006A7A76">
      <w:pPr>
        <w:numPr>
          <w:ilvl w:val="0"/>
          <w:numId w:val="8"/>
        </w:numPr>
        <w:suppressAutoHyphens w:val="0"/>
        <w:autoSpaceDE/>
        <w:contextualSpacing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u drugim opravdanim slučajevima.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13.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Oslobađanje obveznika komunalnog doprinosa iz točke 4. prethodnog članka vrši se u cilju poticanja i stimuliranja rada poduzetnika i obrtnika te unapređenja gospodarskog stanja Općine.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U slučaju oslobađanja od obveze plaćanja komunalnog doprinosa (djelomičnog ili u cijelosti) iznos sredstava namirit će se iz vlastitih prihoda Općine – poreza.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14.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Rješenje o oslobađanju obveznika plaćanja komunalnog doprinosa na temelju podnesenog Zahtjeva donosi Općinski načelnik.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ab/>
        <w:t>Protiv rješenja iz prethodnog stavka može se podnijeti žalba Općinskom vijeću u roku od 8 dana od dana prijema.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15.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Danom stupanja na snagu ove Odluke prestaje važiti Odluka o visini komunalnog doprinosa Općine Negoslavci (“Službeni vjesnik” VSŽ br. 4/00) i Izmjene i dopune Odluke o visini komunalnog doprinosa (“Službeni vjesnik” VSŽ br. 05/00, 03/05, 05/07 i 03/11).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Članak 16.</w:t>
      </w:r>
    </w:p>
    <w:p w:rsidR="006A7A76" w:rsidRPr="006A7A76" w:rsidRDefault="006A7A76" w:rsidP="006A7A76">
      <w:pPr>
        <w:suppressAutoHyphens w:val="0"/>
        <w:autoSpaceDE/>
        <w:jc w:val="center"/>
        <w:rPr>
          <w:rFonts w:eastAsiaTheme="minorHAnsi" w:cstheme="minorBidi"/>
          <w:b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ab/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Ova Odluka stupa na snagu danom nakon dana donošenja i objavit će se u Službenom vjesniku Vukovarsko-srijemske županije.</w:t>
      </w:r>
    </w:p>
    <w:p w:rsidR="006A7A76" w:rsidRPr="006A7A76" w:rsidRDefault="006A7A76" w:rsidP="006A7A76">
      <w:pPr>
        <w:suppressAutoHyphens w:val="0"/>
        <w:autoSpaceDE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right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Predsjednik Općinskog vijeća:</w:t>
      </w:r>
    </w:p>
    <w:p w:rsidR="006A7A76" w:rsidRPr="006A7A76" w:rsidRDefault="006A7A76" w:rsidP="006A7A76">
      <w:pPr>
        <w:suppressAutoHyphens w:val="0"/>
        <w:autoSpaceDE/>
        <w:jc w:val="right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Miodrag Mišanović</w:t>
      </w:r>
    </w:p>
    <w:p w:rsidR="006A7A76" w:rsidRPr="006A7A76" w:rsidRDefault="006A7A76" w:rsidP="006A7A76">
      <w:pPr>
        <w:suppressAutoHyphens w:val="0"/>
        <w:autoSpaceDE/>
        <w:jc w:val="right"/>
        <w:rPr>
          <w:rFonts w:eastAsiaTheme="minorHAnsi" w:cstheme="minorBidi"/>
          <w:sz w:val="24"/>
          <w:szCs w:val="22"/>
          <w:lang w:val="en-US" w:eastAsia="en-US" w:bidi="ar-SA"/>
        </w:rPr>
      </w:pP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OPĆINA NEGOSLAVCI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b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Općinsko vijeće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>KLASA: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 xml:space="preserve"> 363-03/19-01/02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 xml:space="preserve">URBROJ: 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2196/06-02-19-01</w:t>
      </w:r>
    </w:p>
    <w:p w:rsidR="006A7A76" w:rsidRPr="006A7A76" w:rsidRDefault="006A7A76" w:rsidP="006A7A76">
      <w:pPr>
        <w:suppressAutoHyphens w:val="0"/>
        <w:autoSpaceDE/>
        <w:jc w:val="both"/>
        <w:rPr>
          <w:rFonts w:eastAsiaTheme="minorHAnsi" w:cstheme="minorBidi"/>
          <w:sz w:val="24"/>
          <w:szCs w:val="22"/>
          <w:lang w:val="en-US" w:eastAsia="en-US" w:bidi="ar-SA"/>
        </w:rPr>
      </w:pPr>
      <w:r w:rsidRPr="006A7A76">
        <w:rPr>
          <w:rFonts w:eastAsiaTheme="minorHAnsi" w:cstheme="minorBidi"/>
          <w:b/>
          <w:sz w:val="24"/>
          <w:szCs w:val="22"/>
          <w:lang w:val="en-US" w:eastAsia="en-US" w:bidi="ar-SA"/>
        </w:rPr>
        <w:t xml:space="preserve">Negoslavci, </w:t>
      </w:r>
      <w:r w:rsidRPr="006A7A76">
        <w:rPr>
          <w:rFonts w:eastAsiaTheme="minorHAnsi" w:cstheme="minorBidi"/>
          <w:sz w:val="24"/>
          <w:szCs w:val="22"/>
          <w:lang w:val="en-US" w:eastAsia="en-US" w:bidi="ar-SA"/>
        </w:rPr>
        <w:t>19.02.2019. godine</w:t>
      </w:r>
    </w:p>
    <w:p w:rsidR="00DD39F7" w:rsidRPr="00DD39F7" w:rsidRDefault="00DD39F7" w:rsidP="006A7A76">
      <w:pPr>
        <w:suppressAutoHyphens w:val="0"/>
        <w:autoSpaceDE/>
        <w:jc w:val="both"/>
        <w:rPr>
          <w:b/>
          <w:sz w:val="24"/>
          <w:szCs w:val="24"/>
        </w:rPr>
      </w:pPr>
      <w:bookmarkStart w:id="0" w:name="_GoBack"/>
      <w:bookmarkEnd w:id="0"/>
    </w:p>
    <w:sectPr w:rsidR="00DD39F7" w:rsidRPr="00DD39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2D" w:rsidRDefault="00032E2D" w:rsidP="00DD39F7">
      <w:r>
        <w:separator/>
      </w:r>
    </w:p>
  </w:endnote>
  <w:endnote w:type="continuationSeparator" w:id="0">
    <w:p w:rsidR="00032E2D" w:rsidRDefault="00032E2D" w:rsidP="00D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474659"/>
      <w:docPartObj>
        <w:docPartGallery w:val="Page Numbers (Bottom of Page)"/>
        <w:docPartUnique/>
      </w:docPartObj>
    </w:sdtPr>
    <w:sdtEndPr/>
    <w:sdtContent>
      <w:p w:rsidR="00DD39F7" w:rsidRDefault="00DD39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76" w:rsidRPr="006A7A76">
          <w:rPr>
            <w:noProof/>
            <w:lang w:val="hr-HR"/>
          </w:rPr>
          <w:t>1</w:t>
        </w:r>
        <w:r>
          <w:fldChar w:fldCharType="end"/>
        </w:r>
      </w:p>
    </w:sdtContent>
  </w:sdt>
  <w:p w:rsidR="00DD39F7" w:rsidRDefault="00DD39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2D" w:rsidRDefault="00032E2D" w:rsidP="00DD39F7">
      <w:r>
        <w:separator/>
      </w:r>
    </w:p>
  </w:footnote>
  <w:footnote w:type="continuationSeparator" w:id="0">
    <w:p w:rsidR="00032E2D" w:rsidRDefault="00032E2D" w:rsidP="00DD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86" w:hanging="360"/>
      </w:pPr>
      <w:rPr>
        <w:spacing w:val="-11"/>
        <w:w w:val="99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992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16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428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05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864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67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38" w:hanging="360"/>
      </w:pPr>
      <w:rPr>
        <w:rFonts w:eastAsia="Times New Roman" w:cs="Times New Roman"/>
        <w:spacing w:val="-2"/>
        <w:w w:val="99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/>
      </w:rPr>
    </w:lvl>
  </w:abstractNum>
  <w:abstractNum w:abstractNumId="3" w15:restartNumberingAfterBreak="0">
    <w:nsid w:val="052A420A"/>
    <w:multiLevelType w:val="hybridMultilevel"/>
    <w:tmpl w:val="44A2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F50"/>
    <w:multiLevelType w:val="hybridMultilevel"/>
    <w:tmpl w:val="A29C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07B"/>
    <w:multiLevelType w:val="hybridMultilevel"/>
    <w:tmpl w:val="B280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75D1"/>
    <w:multiLevelType w:val="hybridMultilevel"/>
    <w:tmpl w:val="128A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859D7"/>
    <w:multiLevelType w:val="hybridMultilevel"/>
    <w:tmpl w:val="BA42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5332"/>
    <w:multiLevelType w:val="hybridMultilevel"/>
    <w:tmpl w:val="284C6EAE"/>
    <w:lvl w:ilvl="0" w:tplc="0CBA8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371"/>
    <w:multiLevelType w:val="hybridMultilevel"/>
    <w:tmpl w:val="526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7"/>
    <w:rsid w:val="00032E2D"/>
    <w:rsid w:val="00231022"/>
    <w:rsid w:val="00424F6A"/>
    <w:rsid w:val="006601BF"/>
    <w:rsid w:val="006A7A76"/>
    <w:rsid w:val="0094561B"/>
    <w:rsid w:val="00C43474"/>
    <w:rsid w:val="00D05921"/>
    <w:rsid w:val="00D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05EA5-23BA-4B8F-BF34-0B21522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7"/>
    <w:pPr>
      <w:suppressAutoHyphens/>
      <w:autoSpaceDE w:val="0"/>
    </w:pPr>
    <w:rPr>
      <w:rFonts w:eastAsia="Times New Roman" w:cs="Latha"/>
      <w:sz w:val="20"/>
      <w:szCs w:val="20"/>
      <w:lang w:val="en-AU" w:eastAsia="zh-CN" w:bidi="ta-IN"/>
    </w:rPr>
  </w:style>
  <w:style w:type="paragraph" w:styleId="Naslov1">
    <w:name w:val="heading 1"/>
    <w:basedOn w:val="Normal"/>
    <w:next w:val="Normal"/>
    <w:link w:val="Naslov1Char"/>
    <w:qFormat/>
    <w:rsid w:val="00DD39F7"/>
    <w:pPr>
      <w:keepNext/>
      <w:numPr>
        <w:numId w:val="1"/>
      </w:numPr>
      <w:outlineLvl w:val="0"/>
    </w:pPr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39F7"/>
    <w:rPr>
      <w:rFonts w:eastAsia="Times New Roman" w:cs="Latha"/>
      <w:szCs w:val="24"/>
      <w:lang w:val="hr-HR" w:eastAsia="zh-CN" w:bidi="ta-IN"/>
    </w:rPr>
  </w:style>
  <w:style w:type="character" w:styleId="Hiperveza">
    <w:name w:val="Hyperlink"/>
    <w:rsid w:val="00DD39F7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DD39F7"/>
    <w:pPr>
      <w:autoSpaceDE/>
      <w:jc w:val="both"/>
    </w:pPr>
    <w:rPr>
      <w:rFonts w:cs="Times New Roman"/>
      <w:sz w:val="24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DD39F7"/>
    <w:rPr>
      <w:rFonts w:eastAsia="Times New Roman" w:cs="Times New Roman"/>
      <w:szCs w:val="20"/>
      <w:lang w:val="hr-HR" w:eastAsia="zh-CN"/>
    </w:rPr>
  </w:style>
  <w:style w:type="paragraph" w:customStyle="1" w:styleId="Odlomakpopisa1">
    <w:name w:val="Odlomak popisa1"/>
    <w:basedOn w:val="Normal"/>
    <w:rsid w:val="00DD39F7"/>
    <w:pPr>
      <w:ind w:left="838" w:hanging="360"/>
    </w:pPr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DD39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39F7"/>
    <w:rPr>
      <w:rFonts w:eastAsia="Times New Roman" w:cs="Latha"/>
      <w:sz w:val="20"/>
      <w:szCs w:val="20"/>
      <w:lang w:val="en-AU" w:eastAsia="zh-CN" w:bidi="ta-IN"/>
    </w:rPr>
  </w:style>
  <w:style w:type="paragraph" w:styleId="Podnoje">
    <w:name w:val="footer"/>
    <w:basedOn w:val="Normal"/>
    <w:link w:val="PodnojeChar"/>
    <w:uiPriority w:val="99"/>
    <w:unhideWhenUsed/>
    <w:rsid w:val="00DD39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39F7"/>
    <w:rPr>
      <w:rFonts w:eastAsia="Times New Roman" w:cs="Latha"/>
      <w:sz w:val="20"/>
      <w:szCs w:val="20"/>
      <w:lang w:val="en-AU"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nego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2019-02-06T12:40:00Z</dcterms:created>
  <dcterms:modified xsi:type="dcterms:W3CDTF">2019-03-07T13:34:00Z</dcterms:modified>
</cp:coreProperties>
</file>