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67" w:rsidRDefault="00207367" w:rsidP="00207367">
      <w:pPr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b/>
          <w:noProof/>
          <w:szCs w:val="24"/>
        </w:rPr>
        <w:drawing>
          <wp:inline distT="0" distB="0" distL="0" distR="0" wp14:anchorId="67113AEF">
            <wp:extent cx="475615" cy="59753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367" w:rsidRDefault="00207367" w:rsidP="00207367">
      <w:pPr>
        <w:ind w:firstLine="720"/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REPUBLIKA HRVATSKA</w:t>
      </w:r>
    </w:p>
    <w:p w:rsidR="00207367" w:rsidRDefault="00207367" w:rsidP="00207367">
      <w:pPr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VUKOVARSKO-SRIJEMSKA ŽUPANIJA</w:t>
      </w:r>
    </w:p>
    <w:p w:rsidR="00207367" w:rsidRDefault="00207367" w:rsidP="00207367">
      <w:pPr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OPĆINA NEGOSLAVCI</w:t>
      </w:r>
    </w:p>
    <w:p w:rsidR="00207367" w:rsidRPr="00207367" w:rsidRDefault="00207367" w:rsidP="00207367">
      <w:pPr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Općinsko vijeće</w:t>
      </w:r>
    </w:p>
    <w:p w:rsidR="00207367" w:rsidRPr="00423775" w:rsidRDefault="00207367" w:rsidP="00207367">
      <w:pPr>
        <w:jc w:val="both"/>
        <w:rPr>
          <w:rFonts w:eastAsia="Calibri" w:cs="Times New Roman"/>
          <w:szCs w:val="24"/>
          <w:lang w:val="hr-HR"/>
        </w:rPr>
      </w:pPr>
      <w:r w:rsidRPr="00207367">
        <w:rPr>
          <w:rFonts w:eastAsia="Calibri" w:cs="Times New Roman"/>
          <w:b/>
          <w:szCs w:val="24"/>
          <w:lang w:val="hr-HR"/>
        </w:rPr>
        <w:t>KLASA:</w:t>
      </w:r>
      <w:r w:rsidRPr="00423775">
        <w:rPr>
          <w:rFonts w:eastAsia="Calibri" w:cs="Times New Roman"/>
          <w:szCs w:val="24"/>
          <w:lang w:val="hr-HR"/>
        </w:rPr>
        <w:t xml:space="preserve"> 400-08/21-01/01</w:t>
      </w:r>
    </w:p>
    <w:p w:rsidR="00207367" w:rsidRPr="00423775" w:rsidRDefault="00207367" w:rsidP="00207367">
      <w:pPr>
        <w:jc w:val="both"/>
        <w:rPr>
          <w:rFonts w:eastAsia="Calibri" w:cs="Times New Roman"/>
          <w:szCs w:val="24"/>
          <w:lang w:val="hr-HR"/>
        </w:rPr>
      </w:pPr>
      <w:r w:rsidRPr="00207367">
        <w:rPr>
          <w:rFonts w:eastAsia="Calibri" w:cs="Times New Roman"/>
          <w:b/>
          <w:szCs w:val="24"/>
          <w:lang w:val="hr-HR"/>
        </w:rPr>
        <w:t>URBROJ:</w:t>
      </w:r>
      <w:r w:rsidRPr="00423775">
        <w:rPr>
          <w:rFonts w:eastAsia="Calibri" w:cs="Times New Roman"/>
          <w:szCs w:val="24"/>
          <w:lang w:val="hr-HR"/>
        </w:rPr>
        <w:t xml:space="preserve"> 2196/06-01-21-06</w:t>
      </w:r>
    </w:p>
    <w:p w:rsidR="00207367" w:rsidRPr="00423775" w:rsidRDefault="00207367" w:rsidP="00207367">
      <w:pPr>
        <w:jc w:val="both"/>
        <w:rPr>
          <w:rFonts w:eastAsia="Calibri" w:cs="Times New Roman"/>
          <w:szCs w:val="24"/>
          <w:lang w:val="hr-HR"/>
        </w:rPr>
      </w:pPr>
      <w:proofErr w:type="spellStart"/>
      <w:r w:rsidRPr="00207367">
        <w:rPr>
          <w:rFonts w:eastAsia="Calibri" w:cs="Times New Roman"/>
          <w:b/>
          <w:szCs w:val="24"/>
          <w:lang w:val="hr-HR"/>
        </w:rPr>
        <w:t>Negoslavci</w:t>
      </w:r>
      <w:proofErr w:type="spellEnd"/>
      <w:r w:rsidRPr="00207367">
        <w:rPr>
          <w:rFonts w:eastAsia="Calibri" w:cs="Times New Roman"/>
          <w:b/>
          <w:szCs w:val="24"/>
          <w:lang w:val="hr-HR"/>
        </w:rPr>
        <w:t>,</w:t>
      </w:r>
      <w:r w:rsidRPr="00423775">
        <w:rPr>
          <w:rFonts w:eastAsia="Calibri" w:cs="Times New Roman"/>
          <w:szCs w:val="24"/>
          <w:lang w:val="hr-HR"/>
        </w:rPr>
        <w:t xml:space="preserve"> 22.12.2021. godine</w:t>
      </w:r>
    </w:p>
    <w:p w:rsidR="00207367" w:rsidRDefault="00207367" w:rsidP="00207367">
      <w:pPr>
        <w:jc w:val="both"/>
        <w:rPr>
          <w:rFonts w:eastAsia="Calibri" w:cs="Times New Roman"/>
          <w:szCs w:val="24"/>
          <w:lang w:val="hr-HR"/>
        </w:rPr>
      </w:pPr>
    </w:p>
    <w:p w:rsidR="00207367" w:rsidRPr="00195234" w:rsidRDefault="00207367" w:rsidP="00207367">
      <w:pPr>
        <w:ind w:firstLine="720"/>
        <w:jc w:val="both"/>
        <w:rPr>
          <w:rFonts w:eastAsia="Calibri" w:cs="Times New Roman"/>
          <w:szCs w:val="24"/>
          <w:lang w:val="hr-HR"/>
        </w:rPr>
      </w:pPr>
      <w:r w:rsidRPr="00195234">
        <w:rPr>
          <w:rFonts w:eastAsia="Calibri" w:cs="Times New Roman"/>
          <w:szCs w:val="24"/>
          <w:lang w:val="hr-HR"/>
        </w:rPr>
        <w:t xml:space="preserve">Na temelju članka 48 i 49 Zakona o predškolskom odgoju i obrazovanju („Narodne novine“ broj </w:t>
      </w:r>
      <w:hyperlink r:id="rId8" w:history="1">
        <w:r w:rsidRPr="00195234">
          <w:rPr>
            <w:rFonts w:eastAsia="Calibri" w:cs="Times New Roman"/>
            <w:szCs w:val="24"/>
            <w:lang w:val="hr-HR"/>
          </w:rPr>
          <w:t>10/97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9" w:history="1">
        <w:r w:rsidRPr="00195234">
          <w:rPr>
            <w:rFonts w:eastAsia="Calibri" w:cs="Times New Roman"/>
            <w:szCs w:val="24"/>
            <w:lang w:val="hr-HR"/>
          </w:rPr>
          <w:t>107/07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10" w:history="1">
        <w:r w:rsidRPr="00195234">
          <w:rPr>
            <w:rFonts w:eastAsia="Calibri" w:cs="Times New Roman"/>
            <w:szCs w:val="24"/>
            <w:lang w:val="hr-HR"/>
          </w:rPr>
          <w:t>94/13</w:t>
        </w:r>
      </w:hyperlink>
      <w:r w:rsidRPr="00195234">
        <w:rPr>
          <w:rFonts w:eastAsia="Calibri" w:cs="Times New Roman"/>
          <w:szCs w:val="24"/>
          <w:lang w:val="hr-HR"/>
        </w:rPr>
        <w:t xml:space="preserve"> i </w:t>
      </w:r>
      <w:hyperlink r:id="rId11" w:history="1">
        <w:r w:rsidRPr="00195234">
          <w:rPr>
            <w:rFonts w:eastAsia="Calibri" w:cs="Times New Roman"/>
            <w:szCs w:val="24"/>
            <w:lang w:val="hr-HR"/>
          </w:rPr>
          <w:t>98/19</w:t>
        </w:r>
      </w:hyperlink>
      <w:r w:rsidRPr="00195234">
        <w:rPr>
          <w:rFonts w:eastAsia="Calibri" w:cs="Times New Roman"/>
          <w:szCs w:val="24"/>
          <w:lang w:val="hr-HR"/>
        </w:rPr>
        <w:t xml:space="preserve">), u svezi sa člankom 143. Zakona o odgoju i obrazovanju u osnovnoj i srednjoj školi („Narodne novine“ broj </w:t>
      </w:r>
      <w:hyperlink r:id="rId12" w:history="1">
        <w:r w:rsidRPr="00195234">
          <w:rPr>
            <w:rFonts w:eastAsia="Calibri" w:cs="Times New Roman"/>
            <w:szCs w:val="24"/>
            <w:lang w:val="hr-HR"/>
          </w:rPr>
          <w:t>87/08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13" w:history="1">
        <w:r w:rsidRPr="00195234">
          <w:rPr>
            <w:rFonts w:eastAsia="Calibri" w:cs="Times New Roman"/>
            <w:szCs w:val="24"/>
            <w:lang w:val="hr-HR"/>
          </w:rPr>
          <w:t>86/09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14" w:history="1">
        <w:r w:rsidRPr="00195234">
          <w:rPr>
            <w:rFonts w:eastAsia="Calibri" w:cs="Times New Roman"/>
            <w:szCs w:val="24"/>
            <w:lang w:val="hr-HR"/>
          </w:rPr>
          <w:t>92/10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15" w:history="1">
        <w:r w:rsidRPr="00195234">
          <w:rPr>
            <w:rFonts w:eastAsia="Calibri" w:cs="Times New Roman"/>
            <w:szCs w:val="24"/>
            <w:lang w:val="hr-HR"/>
          </w:rPr>
          <w:t>105/10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16" w:history="1">
        <w:r w:rsidRPr="00195234">
          <w:rPr>
            <w:rFonts w:eastAsia="Calibri" w:cs="Times New Roman"/>
            <w:szCs w:val="24"/>
            <w:lang w:val="hr-HR"/>
          </w:rPr>
          <w:t>90/11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17" w:history="1">
        <w:r w:rsidRPr="00195234">
          <w:rPr>
            <w:rFonts w:eastAsia="Calibri" w:cs="Times New Roman"/>
            <w:szCs w:val="24"/>
            <w:lang w:val="hr-HR"/>
          </w:rPr>
          <w:t>5/12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18" w:history="1">
        <w:r w:rsidRPr="00195234">
          <w:rPr>
            <w:rFonts w:eastAsia="Calibri" w:cs="Times New Roman"/>
            <w:szCs w:val="24"/>
            <w:lang w:val="hr-HR"/>
          </w:rPr>
          <w:t>16/12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19" w:history="1">
        <w:r w:rsidRPr="00195234">
          <w:rPr>
            <w:rFonts w:eastAsia="Calibri" w:cs="Times New Roman"/>
            <w:szCs w:val="24"/>
            <w:lang w:val="hr-HR"/>
          </w:rPr>
          <w:t>86/12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20" w:history="1">
        <w:r w:rsidRPr="00195234">
          <w:rPr>
            <w:rFonts w:eastAsia="Calibri" w:cs="Times New Roman"/>
            <w:szCs w:val="24"/>
            <w:lang w:val="hr-HR"/>
          </w:rPr>
          <w:t>126/12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21" w:history="1">
        <w:r w:rsidRPr="00195234">
          <w:rPr>
            <w:rFonts w:eastAsia="Calibri" w:cs="Times New Roman"/>
            <w:szCs w:val="24"/>
            <w:lang w:val="hr-HR"/>
          </w:rPr>
          <w:t>94/13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22" w:history="1">
        <w:r w:rsidRPr="00195234">
          <w:rPr>
            <w:rFonts w:eastAsia="Calibri" w:cs="Times New Roman"/>
            <w:szCs w:val="24"/>
            <w:lang w:val="hr-HR"/>
          </w:rPr>
          <w:t>152/14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23" w:history="1">
        <w:r w:rsidRPr="00195234">
          <w:rPr>
            <w:rFonts w:eastAsia="Calibri" w:cs="Times New Roman"/>
            <w:szCs w:val="24"/>
            <w:lang w:val="hr-HR"/>
          </w:rPr>
          <w:t>07/17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24" w:tgtFrame="_blank" w:history="1">
        <w:r w:rsidRPr="00195234">
          <w:rPr>
            <w:rFonts w:eastAsia="Calibri" w:cs="Times New Roman"/>
            <w:szCs w:val="24"/>
            <w:lang w:val="hr-HR"/>
          </w:rPr>
          <w:t>68/18</w:t>
        </w:r>
      </w:hyperlink>
      <w:r w:rsidRPr="00195234">
        <w:rPr>
          <w:rFonts w:eastAsia="Calibri" w:cs="Times New Roman"/>
          <w:szCs w:val="24"/>
          <w:lang w:val="hr-HR"/>
        </w:rPr>
        <w:t xml:space="preserve">, </w:t>
      </w:r>
      <w:hyperlink r:id="rId25" w:tgtFrame="_blank" w:history="1">
        <w:r w:rsidRPr="00195234">
          <w:rPr>
            <w:rFonts w:eastAsia="Calibri" w:cs="Times New Roman"/>
            <w:szCs w:val="24"/>
            <w:lang w:val="hr-HR"/>
          </w:rPr>
          <w:t>98/19</w:t>
        </w:r>
      </w:hyperlink>
      <w:r w:rsidRPr="00195234">
        <w:rPr>
          <w:rFonts w:eastAsia="Calibri" w:cs="Times New Roman"/>
          <w:szCs w:val="24"/>
          <w:lang w:val="hr-HR"/>
        </w:rPr>
        <w:t xml:space="preserve"> i </w:t>
      </w:r>
      <w:hyperlink r:id="rId26" w:history="1">
        <w:r w:rsidRPr="00195234">
          <w:rPr>
            <w:rFonts w:eastAsia="Calibri" w:cs="Times New Roman"/>
            <w:szCs w:val="24"/>
            <w:lang w:val="hr-HR"/>
          </w:rPr>
          <w:t>64/20</w:t>
        </w:r>
      </w:hyperlink>
      <w:r w:rsidRPr="00195234">
        <w:rPr>
          <w:rFonts w:eastAsia="Calibri" w:cs="Times New Roman"/>
          <w:szCs w:val="24"/>
          <w:lang w:val="hr-HR"/>
        </w:rPr>
        <w:t xml:space="preserve">) i na temelju članka </w:t>
      </w:r>
      <w:r>
        <w:rPr>
          <w:lang w:val="hr-HR"/>
        </w:rPr>
        <w:t xml:space="preserve">19., stavka 1., točke 2. Statuta Općine </w:t>
      </w:r>
      <w:proofErr w:type="spellStart"/>
      <w:r>
        <w:rPr>
          <w:lang w:val="hr-HR"/>
        </w:rPr>
        <w:t>Negoslavci</w:t>
      </w:r>
      <w:proofErr w:type="spellEnd"/>
      <w:r>
        <w:rPr>
          <w:lang w:val="hr-HR"/>
        </w:rPr>
        <w:t xml:space="preserve"> („Službeni glasnik“ Općine </w:t>
      </w:r>
      <w:proofErr w:type="spellStart"/>
      <w:r>
        <w:rPr>
          <w:lang w:val="hr-HR"/>
        </w:rPr>
        <w:t>Negoslavci</w:t>
      </w:r>
      <w:proofErr w:type="spellEnd"/>
      <w:r>
        <w:rPr>
          <w:lang w:val="hr-HR"/>
        </w:rPr>
        <w:t xml:space="preserve"> broj</w:t>
      </w:r>
      <w:r>
        <w:rPr>
          <w:lang w:val="hr-HR"/>
        </w:rPr>
        <w:t xml:space="preserve"> 1/21)</w:t>
      </w:r>
      <w:r w:rsidRPr="00195234">
        <w:rPr>
          <w:rFonts w:eastAsia="Calibri" w:cs="Times New Roman"/>
          <w:szCs w:val="24"/>
          <w:lang w:val="hr-HR"/>
        </w:rPr>
        <w:t xml:space="preserve">, Općinsko vijeće Općine </w:t>
      </w:r>
      <w:proofErr w:type="spellStart"/>
      <w:r w:rsidRPr="00195234">
        <w:rPr>
          <w:rFonts w:eastAsia="Calibri" w:cs="Times New Roman"/>
          <w:szCs w:val="24"/>
          <w:lang w:val="hr-HR"/>
        </w:rPr>
        <w:t>Negoslavci</w:t>
      </w:r>
      <w:proofErr w:type="spellEnd"/>
      <w:r w:rsidRPr="00195234">
        <w:rPr>
          <w:rFonts w:eastAsia="Calibri" w:cs="Times New Roman"/>
          <w:szCs w:val="24"/>
          <w:lang w:val="hr-HR"/>
        </w:rPr>
        <w:t xml:space="preserve"> na svojoj redovnoj sjednici održanoj dana </w:t>
      </w:r>
      <w:r>
        <w:rPr>
          <w:rFonts w:eastAsia="Calibri" w:cs="Times New Roman"/>
          <w:szCs w:val="24"/>
          <w:lang w:val="hr-HR"/>
        </w:rPr>
        <w:t>22</w:t>
      </w:r>
      <w:r w:rsidRPr="00195234">
        <w:rPr>
          <w:rFonts w:eastAsia="Calibri" w:cs="Times New Roman"/>
          <w:szCs w:val="24"/>
          <w:lang w:val="hr-HR"/>
        </w:rPr>
        <w:t>.12.202</w:t>
      </w:r>
      <w:r>
        <w:rPr>
          <w:rFonts w:eastAsia="Calibri" w:cs="Times New Roman"/>
          <w:szCs w:val="24"/>
          <w:lang w:val="hr-HR"/>
        </w:rPr>
        <w:t>1</w:t>
      </w:r>
      <w:r w:rsidRPr="00195234">
        <w:rPr>
          <w:rFonts w:eastAsia="Calibri" w:cs="Times New Roman"/>
          <w:szCs w:val="24"/>
          <w:lang w:val="hr-HR"/>
        </w:rPr>
        <w:t>. godine donosi</w:t>
      </w:r>
    </w:p>
    <w:p w:rsidR="00207367" w:rsidRPr="00B44891" w:rsidRDefault="00207367" w:rsidP="00207367">
      <w:pPr>
        <w:jc w:val="both"/>
        <w:rPr>
          <w:rFonts w:eastAsia="Calibri" w:cs="Times New Roman"/>
          <w:b/>
          <w:szCs w:val="24"/>
          <w:lang w:val="hr-HR"/>
        </w:rPr>
      </w:pPr>
    </w:p>
    <w:p w:rsidR="00207367" w:rsidRDefault="00207367" w:rsidP="00207367">
      <w:pPr>
        <w:keepNext/>
        <w:jc w:val="center"/>
        <w:outlineLvl w:val="0"/>
        <w:rPr>
          <w:rFonts w:eastAsia="Calibri" w:cs="Times New Roman"/>
          <w:b/>
          <w:szCs w:val="24"/>
          <w:lang w:val="hr-HR"/>
        </w:rPr>
      </w:pPr>
      <w:bookmarkStart w:id="0" w:name="_Toc62727858"/>
      <w:bookmarkStart w:id="1" w:name="_GoBack"/>
      <w:r w:rsidRPr="00B44891">
        <w:rPr>
          <w:rFonts w:eastAsia="Calibri" w:cs="Times New Roman"/>
          <w:b/>
          <w:szCs w:val="24"/>
          <w:lang w:val="hr-HR"/>
        </w:rPr>
        <w:t xml:space="preserve">Program javnih potreba u obrazovanju Općine </w:t>
      </w:r>
      <w:proofErr w:type="spellStart"/>
      <w:r w:rsidRPr="00B44891">
        <w:rPr>
          <w:rFonts w:eastAsia="Calibri" w:cs="Times New Roman"/>
          <w:b/>
          <w:szCs w:val="24"/>
          <w:lang w:val="hr-HR"/>
        </w:rPr>
        <w:t>Negoslavci</w:t>
      </w:r>
      <w:proofErr w:type="spellEnd"/>
      <w:r w:rsidRPr="00B44891">
        <w:rPr>
          <w:rFonts w:eastAsia="Calibri" w:cs="Times New Roman"/>
          <w:b/>
          <w:szCs w:val="24"/>
          <w:lang w:val="hr-HR"/>
        </w:rPr>
        <w:t xml:space="preserve"> za 202</w:t>
      </w:r>
      <w:r>
        <w:rPr>
          <w:rFonts w:eastAsia="Calibri" w:cs="Times New Roman"/>
          <w:b/>
          <w:szCs w:val="24"/>
          <w:lang w:val="hr-HR"/>
        </w:rPr>
        <w:t>2</w:t>
      </w:r>
      <w:r w:rsidRPr="00B44891">
        <w:rPr>
          <w:rFonts w:eastAsia="Calibri" w:cs="Times New Roman"/>
          <w:b/>
          <w:szCs w:val="24"/>
          <w:lang w:val="hr-HR"/>
        </w:rPr>
        <w:t>. godinu</w:t>
      </w:r>
      <w:bookmarkEnd w:id="0"/>
    </w:p>
    <w:bookmarkEnd w:id="1"/>
    <w:p w:rsidR="00207367" w:rsidRDefault="00207367" w:rsidP="00207367">
      <w:pPr>
        <w:keepNext/>
        <w:jc w:val="center"/>
        <w:outlineLvl w:val="0"/>
        <w:rPr>
          <w:rFonts w:eastAsia="Calibri" w:cs="Times New Roman"/>
          <w:b/>
          <w:szCs w:val="24"/>
          <w:lang w:val="hr-HR"/>
        </w:rPr>
      </w:pPr>
    </w:p>
    <w:p w:rsidR="00207367" w:rsidRPr="00B44891" w:rsidRDefault="00207367" w:rsidP="00207367">
      <w:pPr>
        <w:keepNext/>
        <w:jc w:val="center"/>
        <w:outlineLvl w:val="0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I</w:t>
      </w:r>
    </w:p>
    <w:p w:rsidR="00207367" w:rsidRPr="00B44891" w:rsidRDefault="00207367" w:rsidP="00207367">
      <w:pPr>
        <w:jc w:val="both"/>
        <w:rPr>
          <w:rFonts w:eastAsia="Calibri" w:cs="Times New Roman"/>
          <w:szCs w:val="24"/>
          <w:lang w:val="hr-HR"/>
        </w:rPr>
      </w:pPr>
      <w:r w:rsidRPr="00B44891">
        <w:rPr>
          <w:rFonts w:eastAsia="Calibri" w:cs="Times New Roman"/>
          <w:b/>
          <w:szCs w:val="24"/>
          <w:lang w:val="hr-HR"/>
        </w:rPr>
        <w:tab/>
      </w:r>
      <w:r w:rsidRPr="00B44891">
        <w:rPr>
          <w:rFonts w:eastAsia="Calibri" w:cs="Times New Roman"/>
          <w:szCs w:val="24"/>
          <w:lang w:val="hr-HR"/>
        </w:rPr>
        <w:t xml:space="preserve">Za ostvarenje Programa javnih potreba u obrazovanju općine </w:t>
      </w:r>
      <w:proofErr w:type="spellStart"/>
      <w:r w:rsidRPr="00B44891">
        <w:rPr>
          <w:rFonts w:eastAsia="Calibri" w:cs="Times New Roman"/>
          <w:szCs w:val="24"/>
          <w:lang w:val="hr-HR"/>
        </w:rPr>
        <w:t>Negoslavci</w:t>
      </w:r>
      <w:proofErr w:type="spellEnd"/>
      <w:r w:rsidRPr="00B44891">
        <w:rPr>
          <w:rFonts w:eastAsia="Calibri" w:cs="Times New Roman"/>
          <w:szCs w:val="24"/>
          <w:lang w:val="hr-HR"/>
        </w:rPr>
        <w:t xml:space="preserve"> za 202</w:t>
      </w:r>
      <w:r>
        <w:rPr>
          <w:rFonts w:eastAsia="Calibri" w:cs="Times New Roman"/>
          <w:szCs w:val="24"/>
          <w:lang w:val="hr-HR"/>
        </w:rPr>
        <w:t>2</w:t>
      </w:r>
      <w:r w:rsidRPr="00B44891">
        <w:rPr>
          <w:rFonts w:eastAsia="Calibri" w:cs="Times New Roman"/>
          <w:szCs w:val="24"/>
          <w:lang w:val="hr-HR"/>
        </w:rPr>
        <w:t>. godinu planira se:</w:t>
      </w:r>
    </w:p>
    <w:p w:rsidR="00207367" w:rsidRPr="009C4DE1" w:rsidRDefault="00207367" w:rsidP="00207367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B44891">
        <w:rPr>
          <w:rFonts w:eastAsia="Calibri" w:cs="Times New Roman"/>
          <w:szCs w:val="24"/>
          <w:lang w:val="hr-HR"/>
        </w:rPr>
        <w:t>Predškolsko obrazovanje</w:t>
      </w:r>
      <w:r w:rsidRPr="009C4DE1">
        <w:rPr>
          <w:rFonts w:eastAsia="Calibri" w:cs="Times New Roman"/>
          <w:szCs w:val="24"/>
          <w:lang w:val="hr-HR"/>
        </w:rPr>
        <w:tab/>
      </w:r>
      <w:r w:rsidRPr="009C4DE1">
        <w:rPr>
          <w:rFonts w:eastAsia="Calibri" w:cs="Times New Roman"/>
          <w:b/>
          <w:bCs/>
          <w:szCs w:val="24"/>
          <w:lang w:val="hr-HR"/>
        </w:rPr>
        <w:t xml:space="preserve">            </w:t>
      </w:r>
    </w:p>
    <w:p w:rsidR="00207367" w:rsidRPr="007841C8" w:rsidRDefault="00207367" w:rsidP="00207367">
      <w:pPr>
        <w:pStyle w:val="Odlomakpopisa"/>
        <w:numPr>
          <w:ilvl w:val="0"/>
          <w:numId w:val="3"/>
        </w:numPr>
        <w:ind w:left="1560" w:hanging="426"/>
        <w:jc w:val="both"/>
        <w:rPr>
          <w:rFonts w:eastAsia="Calibri" w:cs="Times New Roman"/>
          <w:szCs w:val="24"/>
          <w:lang w:val="hr-HR"/>
        </w:rPr>
      </w:pPr>
      <w:r w:rsidRPr="00D80075">
        <w:rPr>
          <w:rFonts w:eastAsia="Calibri" w:cs="Times New Roman"/>
          <w:szCs w:val="24"/>
          <w:lang w:val="hr-HR"/>
        </w:rPr>
        <w:t xml:space="preserve">Obuća za </w:t>
      </w:r>
      <w:proofErr w:type="spellStart"/>
      <w:r w:rsidRPr="00D80075">
        <w:rPr>
          <w:rFonts w:eastAsia="Calibri" w:cs="Times New Roman"/>
          <w:szCs w:val="24"/>
          <w:lang w:val="hr-HR"/>
        </w:rPr>
        <w:t>predškolce</w:t>
      </w:r>
      <w:proofErr w:type="spellEnd"/>
      <w:r w:rsidRPr="00D80075">
        <w:rPr>
          <w:rFonts w:eastAsia="Calibri" w:cs="Times New Roman"/>
          <w:szCs w:val="24"/>
          <w:lang w:val="hr-HR"/>
        </w:rPr>
        <w:t xml:space="preserve"> </w:t>
      </w:r>
      <w:r w:rsidRPr="00D80075">
        <w:rPr>
          <w:rFonts w:eastAsia="Calibri" w:cs="Times New Roman"/>
          <w:szCs w:val="24"/>
          <w:lang w:val="hr-HR"/>
        </w:rPr>
        <w:tab/>
      </w:r>
      <w:r w:rsidRPr="00D80075">
        <w:rPr>
          <w:rFonts w:eastAsia="Calibri" w:cs="Times New Roman"/>
          <w:szCs w:val="24"/>
          <w:lang w:val="hr-HR"/>
        </w:rPr>
        <w:tab/>
      </w:r>
      <w:r w:rsidRPr="00D80075">
        <w:rPr>
          <w:rFonts w:eastAsia="Calibri" w:cs="Times New Roman"/>
          <w:szCs w:val="24"/>
          <w:lang w:val="hr-HR"/>
        </w:rPr>
        <w:tab/>
      </w:r>
      <w:r w:rsidRPr="00D80075">
        <w:rPr>
          <w:rFonts w:eastAsia="Calibri" w:cs="Times New Roman"/>
          <w:szCs w:val="24"/>
          <w:lang w:val="hr-HR"/>
        </w:rPr>
        <w:tab/>
      </w:r>
      <w:r w:rsidRPr="00D80075">
        <w:rPr>
          <w:rFonts w:eastAsia="Calibri" w:cs="Times New Roman"/>
          <w:szCs w:val="24"/>
          <w:lang w:val="hr-HR"/>
        </w:rPr>
        <w:tab/>
      </w:r>
      <w:r w:rsidRPr="00D80075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 xml:space="preserve">    4.000,00 kn</w:t>
      </w:r>
    </w:p>
    <w:p w:rsidR="00207367" w:rsidRPr="009C4DE1" w:rsidRDefault="00207367" w:rsidP="00207367">
      <w:pPr>
        <w:pStyle w:val="Odlomakpopisa"/>
        <w:numPr>
          <w:ilvl w:val="0"/>
          <w:numId w:val="3"/>
        </w:numPr>
        <w:ind w:left="1560" w:hanging="426"/>
        <w:jc w:val="both"/>
        <w:rPr>
          <w:rFonts w:eastAsia="Calibri" w:cs="Times New Roman"/>
          <w:szCs w:val="24"/>
          <w:lang w:val="hr-HR"/>
        </w:rPr>
      </w:pPr>
      <w:r w:rsidRPr="009C4DE1">
        <w:rPr>
          <w:rFonts w:eastAsia="Calibri" w:cs="Times New Roman"/>
          <w:szCs w:val="24"/>
          <w:lang w:val="hr-HR"/>
        </w:rPr>
        <w:t xml:space="preserve">Tekuće donacije                                                                </w:t>
      </w:r>
      <w:r>
        <w:rPr>
          <w:rFonts w:eastAsia="Calibri" w:cs="Times New Roman"/>
          <w:szCs w:val="24"/>
          <w:lang w:val="hr-HR"/>
        </w:rPr>
        <w:t xml:space="preserve"> </w:t>
      </w:r>
      <w:r w:rsidRPr="009C4DE1">
        <w:rPr>
          <w:rFonts w:eastAsia="Calibri" w:cs="Times New Roman"/>
          <w:szCs w:val="24"/>
          <w:lang w:val="hr-HR"/>
        </w:rPr>
        <w:t xml:space="preserve"> </w:t>
      </w:r>
      <w:r>
        <w:rPr>
          <w:rFonts w:eastAsia="Calibri" w:cs="Times New Roman"/>
          <w:szCs w:val="24"/>
          <w:lang w:val="hr-HR"/>
        </w:rPr>
        <w:t xml:space="preserve">         </w:t>
      </w:r>
      <w:r w:rsidRPr="009C4DE1">
        <w:rPr>
          <w:rFonts w:eastAsia="Calibri" w:cs="Times New Roman"/>
          <w:szCs w:val="24"/>
          <w:lang w:val="hr-HR"/>
        </w:rPr>
        <w:t xml:space="preserve">       97.000,00 kn</w:t>
      </w:r>
    </w:p>
    <w:p w:rsidR="00207367" w:rsidRPr="009C4DE1" w:rsidRDefault="00207367" w:rsidP="00207367">
      <w:pPr>
        <w:pStyle w:val="Odlomakpopisa"/>
        <w:numPr>
          <w:ilvl w:val="0"/>
          <w:numId w:val="3"/>
        </w:numPr>
        <w:ind w:left="1560" w:hanging="426"/>
        <w:jc w:val="both"/>
        <w:rPr>
          <w:rFonts w:eastAsia="Calibri" w:cs="Times New Roman"/>
          <w:szCs w:val="24"/>
          <w:lang w:val="hr-HR"/>
        </w:rPr>
      </w:pPr>
      <w:r w:rsidRPr="009C4DE1">
        <w:rPr>
          <w:rFonts w:eastAsia="Calibri" w:cs="Times New Roman"/>
          <w:szCs w:val="24"/>
          <w:lang w:val="hr-HR"/>
        </w:rPr>
        <w:t xml:space="preserve">Troškovi sufinanciranje prehrane </w:t>
      </w:r>
      <w:proofErr w:type="spellStart"/>
      <w:r w:rsidRPr="009C4DE1">
        <w:rPr>
          <w:rFonts w:eastAsia="Calibri" w:cs="Times New Roman"/>
          <w:szCs w:val="24"/>
          <w:lang w:val="hr-HR"/>
        </w:rPr>
        <w:t>predškole</w:t>
      </w:r>
      <w:proofErr w:type="spellEnd"/>
      <w:r w:rsidRPr="009C4DE1">
        <w:rPr>
          <w:rFonts w:eastAsia="Calibri" w:cs="Times New Roman"/>
          <w:szCs w:val="24"/>
          <w:lang w:val="hr-HR"/>
        </w:rPr>
        <w:tab/>
      </w:r>
      <w:r w:rsidRPr="009C4DE1">
        <w:rPr>
          <w:rFonts w:eastAsia="Calibri" w:cs="Times New Roman"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 xml:space="preserve">            </w:t>
      </w:r>
      <w:r w:rsidRPr="009C4DE1">
        <w:rPr>
          <w:rFonts w:eastAsia="Calibri" w:cs="Times New Roman"/>
          <w:szCs w:val="24"/>
          <w:lang w:val="hr-HR"/>
        </w:rPr>
        <w:tab/>
        <w:t xml:space="preserve">  15.000,00 kn</w:t>
      </w:r>
    </w:p>
    <w:p w:rsidR="00207367" w:rsidRPr="007841C8" w:rsidRDefault="00207367" w:rsidP="00207367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7841C8">
        <w:rPr>
          <w:rFonts w:eastAsia="Calibri" w:cs="Times New Roman"/>
          <w:szCs w:val="24"/>
          <w:lang w:val="hr-HR"/>
        </w:rPr>
        <w:t>Srednjoškolsko obrazovanje</w:t>
      </w:r>
    </w:p>
    <w:p w:rsidR="00207367" w:rsidRPr="007841C8" w:rsidRDefault="00207367" w:rsidP="00207367">
      <w:pPr>
        <w:numPr>
          <w:ilvl w:val="0"/>
          <w:numId w:val="2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7841C8">
        <w:rPr>
          <w:rFonts w:eastAsia="Calibri" w:cs="Times New Roman"/>
          <w:szCs w:val="24"/>
          <w:lang w:val="hr-HR"/>
        </w:rPr>
        <w:t>Sufinanciranje javnog prijevoza srednjoškolskih učenika</w:t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  <w:t>35.000,00 kn</w:t>
      </w:r>
    </w:p>
    <w:p w:rsidR="00207367" w:rsidRPr="007841C8" w:rsidRDefault="00207367" w:rsidP="00207367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7841C8">
        <w:rPr>
          <w:rFonts w:eastAsia="Calibri" w:cs="Times New Roman"/>
          <w:szCs w:val="24"/>
          <w:lang w:val="hr-HR"/>
        </w:rPr>
        <w:t xml:space="preserve">Osnovno školstvo                                                                                           </w:t>
      </w:r>
    </w:p>
    <w:p w:rsidR="00207367" w:rsidRPr="007841C8" w:rsidRDefault="00207367" w:rsidP="00207367">
      <w:pPr>
        <w:numPr>
          <w:ilvl w:val="0"/>
          <w:numId w:val="2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7841C8">
        <w:rPr>
          <w:rFonts w:eastAsia="Calibri" w:cs="Times New Roman"/>
          <w:szCs w:val="24"/>
          <w:lang w:val="hr-HR"/>
        </w:rPr>
        <w:t xml:space="preserve">Tekuće donacije OŠ (uključivo nacionalne manjine)           </w:t>
      </w:r>
      <w:r w:rsidRPr="007841C8">
        <w:rPr>
          <w:rFonts w:eastAsia="Calibri" w:cs="Times New Roman"/>
          <w:szCs w:val="24"/>
          <w:lang w:val="hr-HR"/>
        </w:rPr>
        <w:tab/>
        <w:t xml:space="preserve">            36.000,00 kn</w:t>
      </w:r>
    </w:p>
    <w:p w:rsidR="00207367" w:rsidRPr="007841C8" w:rsidRDefault="00207367" w:rsidP="00207367">
      <w:pPr>
        <w:numPr>
          <w:ilvl w:val="0"/>
          <w:numId w:val="2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7841C8">
        <w:rPr>
          <w:rFonts w:eastAsia="Calibri" w:cs="Times New Roman"/>
          <w:szCs w:val="24"/>
          <w:lang w:val="hr-HR"/>
        </w:rPr>
        <w:t>Obuća za školarce</w:t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  <w:t xml:space="preserve">16.000,00 kn </w:t>
      </w:r>
    </w:p>
    <w:p w:rsidR="00207367" w:rsidRPr="007841C8" w:rsidRDefault="00207367" w:rsidP="00207367">
      <w:pPr>
        <w:numPr>
          <w:ilvl w:val="0"/>
          <w:numId w:val="2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7841C8">
        <w:rPr>
          <w:rFonts w:eastAsia="Calibri" w:cs="Times New Roman"/>
          <w:szCs w:val="24"/>
          <w:lang w:val="hr-HR"/>
        </w:rPr>
        <w:t>Tekuće pomoći OŠ                                                                             20.000,00 kn</w:t>
      </w:r>
    </w:p>
    <w:p w:rsidR="00207367" w:rsidRPr="007841C8" w:rsidRDefault="00207367" w:rsidP="00207367">
      <w:pPr>
        <w:numPr>
          <w:ilvl w:val="0"/>
          <w:numId w:val="2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7841C8">
        <w:rPr>
          <w:rFonts w:eastAsia="Calibri" w:cs="Times New Roman"/>
          <w:szCs w:val="24"/>
          <w:lang w:val="hr-HR"/>
        </w:rPr>
        <w:t>Sufinanciranje ekskurzije učenicima</w:t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  <w:t>16.000,00 kn</w:t>
      </w:r>
    </w:p>
    <w:p w:rsidR="00207367" w:rsidRPr="007841C8" w:rsidRDefault="00207367" w:rsidP="00207367">
      <w:pPr>
        <w:numPr>
          <w:ilvl w:val="0"/>
          <w:numId w:val="2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7841C8">
        <w:rPr>
          <w:rFonts w:eastAsia="Calibri" w:cs="Times New Roman"/>
          <w:szCs w:val="24"/>
          <w:lang w:val="hr-HR"/>
        </w:rPr>
        <w:t>Radne bilježnice za učenike</w:t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  <w:t>14.000,00 kn</w:t>
      </w:r>
    </w:p>
    <w:p w:rsidR="00207367" w:rsidRPr="00207367" w:rsidRDefault="00207367" w:rsidP="00207367">
      <w:pPr>
        <w:numPr>
          <w:ilvl w:val="0"/>
          <w:numId w:val="2"/>
        </w:numPr>
        <w:contextualSpacing/>
        <w:jc w:val="both"/>
        <w:rPr>
          <w:rFonts w:eastAsia="Calibri" w:cs="Times New Roman"/>
          <w:szCs w:val="24"/>
          <w:lang w:val="hr-HR"/>
        </w:rPr>
      </w:pPr>
      <w:r w:rsidRPr="007841C8">
        <w:rPr>
          <w:rFonts w:eastAsia="Calibri" w:cs="Times New Roman"/>
          <w:szCs w:val="24"/>
          <w:lang w:val="hr-HR"/>
        </w:rPr>
        <w:t xml:space="preserve">Škola plivanja </w:t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</w:r>
      <w:r w:rsidRPr="007841C8">
        <w:rPr>
          <w:rFonts w:eastAsia="Calibri" w:cs="Times New Roman"/>
          <w:szCs w:val="24"/>
          <w:lang w:val="hr-HR"/>
        </w:rPr>
        <w:tab/>
        <w:t xml:space="preserve">              6.000,00 kn</w:t>
      </w:r>
    </w:p>
    <w:p w:rsidR="00207367" w:rsidRDefault="00207367" w:rsidP="00207367">
      <w:pPr>
        <w:ind w:left="720"/>
        <w:contextualSpacing/>
        <w:jc w:val="both"/>
        <w:rPr>
          <w:rFonts w:eastAsia="Calibri" w:cs="Times New Roman"/>
          <w:b/>
          <w:szCs w:val="24"/>
          <w:lang w:val="hr-HR"/>
        </w:rPr>
      </w:pPr>
      <w:r w:rsidRPr="00B44891">
        <w:rPr>
          <w:rFonts w:eastAsia="Calibri" w:cs="Times New Roman"/>
          <w:b/>
          <w:szCs w:val="24"/>
          <w:lang w:val="hr-HR"/>
        </w:rPr>
        <w:t>UKUPNO:</w:t>
      </w:r>
      <w:r w:rsidRPr="00B44891">
        <w:rPr>
          <w:rFonts w:eastAsia="Calibri" w:cs="Times New Roman"/>
          <w:b/>
          <w:szCs w:val="24"/>
          <w:lang w:val="hr-HR"/>
        </w:rPr>
        <w:tab/>
      </w:r>
      <w:r w:rsidRPr="00B44891">
        <w:rPr>
          <w:rFonts w:eastAsia="Calibri" w:cs="Times New Roman"/>
          <w:b/>
          <w:szCs w:val="24"/>
          <w:lang w:val="hr-HR"/>
        </w:rPr>
        <w:tab/>
      </w:r>
      <w:r w:rsidRPr="00B44891">
        <w:rPr>
          <w:rFonts w:eastAsia="Calibri" w:cs="Times New Roman"/>
          <w:b/>
          <w:szCs w:val="24"/>
          <w:lang w:val="hr-HR"/>
        </w:rPr>
        <w:tab/>
      </w:r>
      <w:r w:rsidRPr="00B44891">
        <w:rPr>
          <w:rFonts w:eastAsia="Calibri" w:cs="Times New Roman"/>
          <w:b/>
          <w:szCs w:val="24"/>
          <w:lang w:val="hr-HR"/>
        </w:rPr>
        <w:tab/>
      </w:r>
      <w:r w:rsidRPr="00B44891">
        <w:rPr>
          <w:rFonts w:eastAsia="Calibri" w:cs="Times New Roman"/>
          <w:b/>
          <w:szCs w:val="24"/>
          <w:lang w:val="hr-HR"/>
        </w:rPr>
        <w:tab/>
      </w:r>
      <w:r w:rsidRPr="00B44891">
        <w:rPr>
          <w:rFonts w:eastAsia="Calibri" w:cs="Times New Roman"/>
          <w:b/>
          <w:szCs w:val="24"/>
          <w:lang w:val="hr-HR"/>
        </w:rPr>
        <w:tab/>
      </w:r>
      <w:r w:rsidRPr="00B44891">
        <w:rPr>
          <w:rFonts w:eastAsia="Calibri" w:cs="Times New Roman"/>
          <w:b/>
          <w:szCs w:val="24"/>
          <w:lang w:val="hr-HR"/>
        </w:rPr>
        <w:tab/>
      </w:r>
      <w:r w:rsidRPr="00B44891">
        <w:rPr>
          <w:rFonts w:eastAsia="Calibri" w:cs="Times New Roman"/>
          <w:b/>
          <w:szCs w:val="24"/>
          <w:lang w:val="hr-HR"/>
        </w:rPr>
        <w:tab/>
        <w:t xml:space="preserve">          </w:t>
      </w:r>
      <w:r>
        <w:rPr>
          <w:rFonts w:eastAsia="Calibri" w:cs="Times New Roman"/>
          <w:b/>
          <w:szCs w:val="24"/>
          <w:lang w:val="hr-HR"/>
        </w:rPr>
        <w:t>259</w:t>
      </w:r>
      <w:r w:rsidRPr="00B44891">
        <w:rPr>
          <w:rFonts w:eastAsia="Calibri" w:cs="Times New Roman"/>
          <w:b/>
          <w:szCs w:val="24"/>
          <w:lang w:val="hr-HR"/>
        </w:rPr>
        <w:t>.000,00kn</w:t>
      </w:r>
    </w:p>
    <w:p w:rsidR="00207367" w:rsidRPr="00B44891" w:rsidRDefault="00207367" w:rsidP="00207367">
      <w:pPr>
        <w:ind w:left="720"/>
        <w:contextualSpacing/>
        <w:jc w:val="both"/>
        <w:rPr>
          <w:rFonts w:eastAsia="Calibri" w:cs="Times New Roman"/>
          <w:b/>
          <w:szCs w:val="24"/>
          <w:lang w:val="hr-HR"/>
        </w:rPr>
      </w:pPr>
    </w:p>
    <w:p w:rsidR="00207367" w:rsidRPr="00B44891" w:rsidRDefault="00207367" w:rsidP="00207367">
      <w:pPr>
        <w:jc w:val="center"/>
        <w:rPr>
          <w:rFonts w:eastAsia="Calibri" w:cs="Times New Roman"/>
          <w:b/>
          <w:szCs w:val="24"/>
          <w:lang w:val="hr-HR"/>
        </w:rPr>
      </w:pPr>
      <w:r w:rsidRPr="00B44891">
        <w:rPr>
          <w:rFonts w:eastAsia="Calibri" w:cs="Times New Roman"/>
          <w:b/>
          <w:szCs w:val="24"/>
          <w:lang w:val="hr-HR"/>
        </w:rPr>
        <w:t>II</w:t>
      </w:r>
    </w:p>
    <w:p w:rsidR="00207367" w:rsidRPr="00207367" w:rsidRDefault="00207367" w:rsidP="00207367">
      <w:pPr>
        <w:widowControl w:val="0"/>
        <w:suppressAutoHyphens/>
        <w:spacing w:after="120"/>
        <w:ind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 w:rsidRPr="00B44891">
        <w:rPr>
          <w:rFonts w:eastAsia="Andale Sans UI" w:cs="Times New Roman"/>
          <w:kern w:val="2"/>
          <w:szCs w:val="24"/>
          <w:lang w:val="hr-HR" w:eastAsia="zh-CN"/>
        </w:rPr>
        <w:t>Provedbene odluke u cilju realizac</w:t>
      </w:r>
      <w:r>
        <w:rPr>
          <w:rFonts w:eastAsia="Andale Sans UI" w:cs="Times New Roman"/>
          <w:kern w:val="2"/>
          <w:szCs w:val="24"/>
          <w:lang w:val="hr-HR" w:eastAsia="zh-CN"/>
        </w:rPr>
        <w:t>ije ovoga programa donijeti će O</w:t>
      </w:r>
      <w:r w:rsidRPr="00B44891">
        <w:rPr>
          <w:rFonts w:eastAsia="Andale Sans UI" w:cs="Times New Roman"/>
          <w:kern w:val="2"/>
          <w:szCs w:val="24"/>
          <w:lang w:val="hr-HR" w:eastAsia="zh-CN"/>
        </w:rPr>
        <w:t>pćinski načelnik.</w:t>
      </w:r>
    </w:p>
    <w:p w:rsidR="00207367" w:rsidRPr="00B44891" w:rsidRDefault="00207367" w:rsidP="00207367">
      <w:pPr>
        <w:jc w:val="center"/>
        <w:rPr>
          <w:rFonts w:eastAsia="Calibri" w:cs="Times New Roman"/>
          <w:b/>
          <w:szCs w:val="24"/>
          <w:lang w:val="hr-HR"/>
        </w:rPr>
      </w:pPr>
      <w:r w:rsidRPr="00B44891">
        <w:rPr>
          <w:rFonts w:eastAsia="Calibri" w:cs="Times New Roman"/>
          <w:b/>
          <w:szCs w:val="24"/>
          <w:lang w:val="hr-HR"/>
        </w:rPr>
        <w:t>III</w:t>
      </w:r>
    </w:p>
    <w:p w:rsidR="00207367" w:rsidRPr="00207367" w:rsidRDefault="00207367" w:rsidP="00207367">
      <w:pPr>
        <w:ind w:firstLine="708"/>
        <w:jc w:val="both"/>
        <w:rPr>
          <w:rFonts w:eastAsia="Calibri" w:cs="Times New Roman"/>
          <w:szCs w:val="24"/>
          <w:lang w:val="hr-HR"/>
        </w:rPr>
      </w:pPr>
      <w:r w:rsidRPr="00B44891">
        <w:rPr>
          <w:rFonts w:eastAsia="Calibri" w:cs="Times New Roman"/>
          <w:szCs w:val="24"/>
          <w:lang w:val="hr-HR"/>
        </w:rPr>
        <w:tab/>
      </w:r>
      <w:r w:rsidRPr="00AD4E2A">
        <w:rPr>
          <w:rFonts w:eastAsia="Calibri" w:cs="Times New Roman"/>
          <w:szCs w:val="24"/>
          <w:lang w:val="hr-HR"/>
        </w:rPr>
        <w:t>Ovaj Program stupa na snagu dan nakon dana objave u Službenom glas</w:t>
      </w:r>
      <w:r>
        <w:rPr>
          <w:rFonts w:eastAsia="Calibri" w:cs="Times New Roman"/>
          <w:szCs w:val="24"/>
          <w:lang w:val="hr-HR"/>
        </w:rPr>
        <w:t xml:space="preserve">niku Općine </w:t>
      </w:r>
      <w:proofErr w:type="spellStart"/>
      <w:r>
        <w:rPr>
          <w:rFonts w:eastAsia="Calibri" w:cs="Times New Roman"/>
          <w:szCs w:val="24"/>
          <w:lang w:val="hr-HR"/>
        </w:rPr>
        <w:t>Negoslavci</w:t>
      </w:r>
      <w:proofErr w:type="spellEnd"/>
      <w:r w:rsidRPr="00AD4E2A">
        <w:rPr>
          <w:rFonts w:eastAsia="Calibri" w:cs="Times New Roman"/>
          <w:szCs w:val="24"/>
          <w:lang w:val="hr-HR"/>
        </w:rPr>
        <w:t>, a primjenjuje se od 01.01.202</w:t>
      </w:r>
      <w:r>
        <w:rPr>
          <w:rFonts w:eastAsia="Calibri" w:cs="Times New Roman"/>
          <w:szCs w:val="24"/>
          <w:lang w:val="hr-HR"/>
        </w:rPr>
        <w:t>2</w:t>
      </w:r>
      <w:r w:rsidRPr="00AD4E2A">
        <w:rPr>
          <w:rFonts w:eastAsia="Calibri" w:cs="Times New Roman"/>
          <w:szCs w:val="24"/>
          <w:lang w:val="hr-HR"/>
        </w:rPr>
        <w:t>. godine.</w:t>
      </w:r>
    </w:p>
    <w:p w:rsidR="00207367" w:rsidRDefault="00207367" w:rsidP="00207367">
      <w:pPr>
        <w:jc w:val="right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Zamjenik p</w:t>
      </w:r>
      <w:r w:rsidRPr="00B44891">
        <w:rPr>
          <w:rFonts w:eastAsia="Calibri" w:cs="Times New Roman"/>
          <w:b/>
          <w:szCs w:val="24"/>
          <w:lang w:val="hr-HR"/>
        </w:rPr>
        <w:t>redsjednik</w:t>
      </w:r>
      <w:r>
        <w:rPr>
          <w:rFonts w:eastAsia="Calibri" w:cs="Times New Roman"/>
          <w:b/>
          <w:szCs w:val="24"/>
          <w:lang w:val="hr-HR"/>
        </w:rPr>
        <w:t>a</w:t>
      </w:r>
      <w:r w:rsidRPr="00B44891">
        <w:rPr>
          <w:rFonts w:eastAsia="Calibri" w:cs="Times New Roman"/>
          <w:b/>
          <w:szCs w:val="24"/>
          <w:lang w:val="hr-HR"/>
        </w:rPr>
        <w:t xml:space="preserve"> Općinskog vijeća</w:t>
      </w:r>
    </w:p>
    <w:p w:rsidR="002E4D67" w:rsidRPr="00207367" w:rsidRDefault="00207367" w:rsidP="00207367">
      <w:pPr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 xml:space="preserve">Branko </w:t>
      </w:r>
      <w:proofErr w:type="spellStart"/>
      <w:r>
        <w:rPr>
          <w:rFonts w:eastAsia="Calibri" w:cs="Times New Roman"/>
          <w:szCs w:val="24"/>
          <w:lang w:val="hr-HR"/>
        </w:rPr>
        <w:t>Abadžić</w:t>
      </w:r>
      <w:proofErr w:type="spellEnd"/>
    </w:p>
    <w:sectPr w:rsidR="002E4D67" w:rsidRPr="00207367">
      <w:footerReference w:type="defaul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53" w:rsidRDefault="006A0C53" w:rsidP="00207367">
      <w:r>
        <w:separator/>
      </w:r>
    </w:p>
  </w:endnote>
  <w:endnote w:type="continuationSeparator" w:id="0">
    <w:p w:rsidR="006A0C53" w:rsidRDefault="006A0C53" w:rsidP="0020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67" w:rsidRDefault="00207367" w:rsidP="00207367">
    <w:pPr>
      <w:pStyle w:val="Podnoje"/>
    </w:pPr>
  </w:p>
  <w:p w:rsidR="00207367" w:rsidRDefault="002073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53" w:rsidRDefault="006A0C53" w:rsidP="00207367">
      <w:r>
        <w:separator/>
      </w:r>
    </w:p>
  </w:footnote>
  <w:footnote w:type="continuationSeparator" w:id="0">
    <w:p w:rsidR="006A0C53" w:rsidRDefault="006A0C53" w:rsidP="0020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5BB8"/>
    <w:multiLevelType w:val="hybridMultilevel"/>
    <w:tmpl w:val="F124845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0DD1"/>
    <w:multiLevelType w:val="hybridMultilevel"/>
    <w:tmpl w:val="67A6BDC0"/>
    <w:lvl w:ilvl="0" w:tplc="9208B99E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14119F8"/>
    <w:multiLevelType w:val="hybridMultilevel"/>
    <w:tmpl w:val="CD18AF94"/>
    <w:lvl w:ilvl="0" w:tplc="B5503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67"/>
    <w:rsid w:val="00207367"/>
    <w:rsid w:val="002E4D67"/>
    <w:rsid w:val="006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F514"/>
  <w15:chartTrackingRefBased/>
  <w15:docId w15:val="{96C11D61-9838-4EEF-9A54-08C7B7C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6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3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736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367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20736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3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hyperlink" Target="https://www.zakon.hr/cms.htm?id=67" TargetMode="External"/><Relationship Id="rId18" Type="http://schemas.openxmlformats.org/officeDocument/2006/relationships/hyperlink" Target="https://www.zakon.hr/cms.htm?id=72" TargetMode="External"/><Relationship Id="rId26" Type="http://schemas.openxmlformats.org/officeDocument/2006/relationships/hyperlink" Target="https://www.zakon.hr/cms.htm?id=446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8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66" TargetMode="External"/><Relationship Id="rId17" Type="http://schemas.openxmlformats.org/officeDocument/2006/relationships/hyperlink" Target="https://www.zakon.hr/cms.htm?id=71" TargetMode="External"/><Relationship Id="rId25" Type="http://schemas.openxmlformats.org/officeDocument/2006/relationships/hyperlink" Target="https://www.zakon.hr/cms.htm?id=408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0" TargetMode="External"/><Relationship Id="rId20" Type="http://schemas.openxmlformats.org/officeDocument/2006/relationships/hyperlink" Target="https://www.zakon.hr/cms.htm?id=18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hyperlink" Target="https://www.zakon.hr/cms.htm?id=312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69" TargetMode="External"/><Relationship Id="rId23" Type="http://schemas.openxmlformats.org/officeDocument/2006/relationships/hyperlink" Target="https://www.zakon.hr/cms.htm?id=1775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s://www.zakon.hr/cms.htm?id=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s://www.zakon.hr/cms.htm?id=68" TargetMode="External"/><Relationship Id="rId22" Type="http://schemas.openxmlformats.org/officeDocument/2006/relationships/hyperlink" Target="https://www.zakon.hr/cms.htm?id=167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2022-01-10T12:02:00Z</dcterms:created>
  <dcterms:modified xsi:type="dcterms:W3CDTF">2022-01-10T12:05:00Z</dcterms:modified>
</cp:coreProperties>
</file>