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  <w:bookmarkStart w:id="0" w:name="_GoBack"/>
      <w:bookmarkEnd w:id="0"/>
      <w:r w:rsidRPr="00D41A72">
        <w:rPr>
          <w:rFonts w:cs="Times New Roman"/>
          <w:b/>
          <w:lang w:val="hr-HR"/>
        </w:rPr>
        <w:t xml:space="preserve">OBRAZLOŽENJE GODIŠNJEG IZVJEŠTAJA O IZVRŠENJU PRORAČUNA ZA </w:t>
      </w:r>
      <w:r w:rsidR="004D528D">
        <w:rPr>
          <w:rFonts w:cs="Times New Roman"/>
          <w:b/>
          <w:lang w:val="hr-HR"/>
        </w:rPr>
        <w:t>202</w:t>
      </w:r>
      <w:r w:rsidR="00C03ADE">
        <w:rPr>
          <w:rFonts w:cs="Times New Roman"/>
          <w:b/>
          <w:lang w:val="hr-HR"/>
        </w:rPr>
        <w:t>1</w:t>
      </w:r>
      <w:r w:rsidR="004D528D">
        <w:rPr>
          <w:rFonts w:cs="Times New Roman"/>
          <w:b/>
          <w:lang w:val="hr-HR"/>
        </w:rPr>
        <w:t>.</w:t>
      </w:r>
      <w:r w:rsidRPr="00D41A72">
        <w:rPr>
          <w:rFonts w:cs="Times New Roman"/>
          <w:b/>
          <w:lang w:val="hr-HR"/>
        </w:rPr>
        <w:t xml:space="preserve"> GODINU</w:t>
      </w:r>
      <w:r>
        <w:rPr>
          <w:rFonts w:cs="Times New Roman"/>
          <w:b/>
          <w:lang w:val="hr-HR"/>
        </w:rPr>
        <w:t xml:space="preserve"> OPĆINE NEGOSLAVCI</w:t>
      </w: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  <w:r w:rsidRPr="00D41A72">
        <w:rPr>
          <w:rFonts w:cs="Times New Roman"/>
          <w:b/>
          <w:lang w:val="hr-HR"/>
        </w:rPr>
        <w:t>UVOD</w:t>
      </w: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</w:p>
    <w:p w:rsidR="00B16283" w:rsidRDefault="00B16283" w:rsidP="00B16283">
      <w:pPr>
        <w:jc w:val="both"/>
        <w:rPr>
          <w:rFonts w:cs="Times New Roman"/>
          <w:lang w:val="hr-HR"/>
        </w:rPr>
      </w:pPr>
      <w:r w:rsidRPr="00D41A72">
        <w:rPr>
          <w:rFonts w:cs="Times New Roman"/>
          <w:lang w:val="hr-HR"/>
        </w:rPr>
        <w:tab/>
        <w:t>Zakon</w:t>
      </w:r>
      <w:r>
        <w:rPr>
          <w:rFonts w:cs="Times New Roman"/>
          <w:lang w:val="hr-HR"/>
        </w:rPr>
        <w:t>om</w:t>
      </w:r>
      <w:r w:rsidRPr="00D41A72">
        <w:rPr>
          <w:rFonts w:cs="Times New Roman"/>
          <w:lang w:val="hr-HR"/>
        </w:rPr>
        <w:t xml:space="preserve"> o proračunu („Narodne novine“ broj </w:t>
      </w:r>
      <w:r w:rsidR="00C03ADE">
        <w:rPr>
          <w:rFonts w:cs="Times New Roman"/>
          <w:lang w:val="hr-HR"/>
        </w:rPr>
        <w:t>44/21</w:t>
      </w:r>
      <w:r w:rsidRPr="00D41A72">
        <w:rPr>
          <w:rFonts w:cs="Times New Roman"/>
          <w:lang w:val="hr-HR"/>
        </w:rPr>
        <w:t xml:space="preserve">) i Pravilnikom o polugodišnjem i godišnjem izvještaju o izvršenju proračuna („Narodne novine“ broj </w:t>
      </w:r>
      <w:r w:rsidRPr="00A2729A">
        <w:rPr>
          <w:szCs w:val="24"/>
        </w:rPr>
        <w:t xml:space="preserve">24/13, 102/17 i </w:t>
      </w:r>
      <w:r w:rsidRPr="00A2729A">
        <w:rPr>
          <w:rStyle w:val="Naglaeno"/>
          <w:szCs w:val="24"/>
        </w:rPr>
        <w:t>01/20</w:t>
      </w:r>
      <w:r w:rsidRPr="00A2729A">
        <w:rPr>
          <w:rFonts w:cs="Times New Roman"/>
          <w:szCs w:val="24"/>
          <w:lang w:val="hr-HR"/>
        </w:rPr>
        <w:t>)</w:t>
      </w:r>
      <w:r w:rsidRPr="00D41A72">
        <w:rPr>
          <w:rFonts w:cs="Times New Roman"/>
          <w:lang w:val="hr-HR"/>
        </w:rPr>
        <w:t xml:space="preserve"> je propisana obveza sastavljanja i podnošenja Godišnjeg izvještaja o izvršenju proračuna tekuće proračunske godine na donošenje predstavničkom tijelu jedinice lokalne i područne (regionalne) samouprave. Zakon</w:t>
      </w:r>
      <w:r w:rsidR="00C03ADE">
        <w:rPr>
          <w:rFonts w:cs="Times New Roman"/>
          <w:lang w:val="hr-HR"/>
        </w:rPr>
        <w:t>om</w:t>
      </w:r>
      <w:r>
        <w:rPr>
          <w:rFonts w:cs="Times New Roman"/>
          <w:lang w:val="hr-HR"/>
        </w:rPr>
        <w:t xml:space="preserve"> o proračunu</w:t>
      </w:r>
      <w:r w:rsidRPr="00D41A72">
        <w:rPr>
          <w:rFonts w:cs="Times New Roman"/>
          <w:lang w:val="hr-HR"/>
        </w:rPr>
        <w:t xml:space="preserve"> i člankom 4.</w:t>
      </w:r>
      <w:r>
        <w:rPr>
          <w:rFonts w:cs="Times New Roman"/>
          <w:lang w:val="hr-HR"/>
        </w:rPr>
        <w:t xml:space="preserve"> Pravilnika o polugodišnjem i godišnjem izvještaju o izvršenju proračuna</w:t>
      </w:r>
      <w:r w:rsidRPr="00D41A72">
        <w:rPr>
          <w:rFonts w:cs="Times New Roman"/>
          <w:lang w:val="hr-HR"/>
        </w:rPr>
        <w:t xml:space="preserve"> je propisan sadržaj Godišnjeg i izvještaja o izvršenju proračuna</w:t>
      </w:r>
      <w:r w:rsidR="00CB0415">
        <w:rPr>
          <w:rFonts w:cs="Times New Roman"/>
          <w:lang w:val="hr-HR"/>
        </w:rPr>
        <w:t xml:space="preserve"> te rokovi donošenja</w:t>
      </w:r>
      <w:r w:rsidRPr="00D41A72">
        <w:rPr>
          <w:rFonts w:cs="Times New Roman"/>
          <w:lang w:val="hr-HR"/>
        </w:rPr>
        <w:t>.</w:t>
      </w:r>
    </w:p>
    <w:p w:rsidR="00C03ADE" w:rsidRPr="00D41A72" w:rsidRDefault="00C03ADE" w:rsidP="00B16283">
      <w:pPr>
        <w:jc w:val="both"/>
        <w:rPr>
          <w:rFonts w:cs="Times New Roman"/>
          <w:lang w:val="hr-HR"/>
        </w:rPr>
      </w:pPr>
    </w:p>
    <w:p w:rsidR="00B16283" w:rsidRPr="00D41A72" w:rsidRDefault="00B16283" w:rsidP="00B16283">
      <w:pPr>
        <w:jc w:val="right"/>
        <w:rPr>
          <w:rFonts w:cs="Times New Roman"/>
          <w:lang w:val="hr-HR"/>
        </w:rPr>
      </w:pPr>
    </w:p>
    <w:p w:rsidR="00B16283" w:rsidRPr="00C03ADE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b/>
          <w:szCs w:val="24"/>
          <w:lang w:val="hr-HR"/>
        </w:rPr>
      </w:pPr>
      <w:r w:rsidRPr="00C03ADE">
        <w:rPr>
          <w:rFonts w:cs="Times New Roman"/>
          <w:b/>
          <w:szCs w:val="24"/>
          <w:lang w:val="hr-HR"/>
        </w:rPr>
        <w:t>Opći dio Proračuna čini:</w:t>
      </w:r>
    </w:p>
    <w:p w:rsidR="00C03ADE" w:rsidRPr="00C03ADE" w:rsidRDefault="00C03ADE" w:rsidP="00C03ADE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prihoda i rashoda 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Račun Prihoda i rashoda proračuna sastoji se od prihoda i rashoda prema ekonomskoj klasifikaciji. U Računu prihoda i rashoda te Računu financiranja planirani su svi prihodi i primici te rashodi i</w:t>
      </w:r>
      <w:r w:rsidR="00693381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izdaci koje općinska tijela i općinski proračunski korisnici ostvaruju obavljanjem poslova iz svoga Djelokruga u skladu s propisima i drugim aktima.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125C0F">
        <w:rPr>
          <w:rFonts w:cs="Times New Roman"/>
          <w:szCs w:val="24"/>
          <w:lang w:val="hr-HR"/>
        </w:rPr>
        <w:t>Iz sažetka općeg djela proračuna vidljivo je da su u izvještajnom razdoblju</w:t>
      </w:r>
      <w:r w:rsidR="00BA332A">
        <w:rPr>
          <w:rFonts w:cs="Times New Roman"/>
          <w:szCs w:val="24"/>
          <w:lang w:val="hr-HR"/>
        </w:rPr>
        <w:t xml:space="preserve"> </w:t>
      </w:r>
      <w:r w:rsidRPr="00125C0F">
        <w:rPr>
          <w:rFonts w:cs="Times New Roman"/>
          <w:szCs w:val="24"/>
          <w:lang w:val="hr-HR"/>
        </w:rPr>
        <w:t xml:space="preserve">ostvareni prihodi i primici od </w:t>
      </w:r>
      <w:r w:rsidR="00F31230">
        <w:rPr>
          <w:rFonts w:cs="Times New Roman"/>
          <w:szCs w:val="24"/>
          <w:lang w:val="hr-HR"/>
        </w:rPr>
        <w:t xml:space="preserve">5.410.875,63 </w:t>
      </w:r>
      <w:r w:rsidRPr="00125C0F">
        <w:rPr>
          <w:rFonts w:cs="Times New Roman"/>
          <w:szCs w:val="24"/>
          <w:lang w:val="hr-HR"/>
        </w:rPr>
        <w:t>kune, a realizirani rashodi i izdaci od</w:t>
      </w:r>
      <w:r w:rsidR="00BA332A">
        <w:rPr>
          <w:rFonts w:cs="Times New Roman"/>
          <w:szCs w:val="24"/>
          <w:lang w:val="hr-HR"/>
        </w:rPr>
        <w:t xml:space="preserve"> </w:t>
      </w:r>
      <w:r w:rsidR="00F31230">
        <w:rPr>
          <w:rFonts w:cs="Times New Roman"/>
          <w:szCs w:val="24"/>
          <w:lang w:val="hr-HR"/>
        </w:rPr>
        <w:t>5.208.239,69</w:t>
      </w:r>
      <w:r w:rsidR="00BA332A">
        <w:rPr>
          <w:rFonts w:cs="Times New Roman"/>
          <w:szCs w:val="24"/>
          <w:lang w:val="hr-HR"/>
        </w:rPr>
        <w:t xml:space="preserve"> </w:t>
      </w:r>
      <w:r w:rsidRPr="00125C0F">
        <w:rPr>
          <w:rFonts w:cs="Times New Roman"/>
          <w:szCs w:val="24"/>
          <w:lang w:val="hr-HR"/>
        </w:rPr>
        <w:t xml:space="preserve">kuna te je rezultat izvještajnog razdoblja </w:t>
      </w:r>
      <w:r w:rsidR="00F31230">
        <w:rPr>
          <w:rFonts w:cs="Times New Roman"/>
          <w:szCs w:val="24"/>
          <w:lang w:val="hr-HR"/>
        </w:rPr>
        <w:t>pozitivan</w:t>
      </w:r>
      <w:r w:rsidRPr="00125C0F">
        <w:rPr>
          <w:rFonts w:cs="Times New Roman"/>
          <w:szCs w:val="24"/>
          <w:lang w:val="hr-HR"/>
        </w:rPr>
        <w:t xml:space="preserve"> u iznosu od </w:t>
      </w:r>
      <w:r w:rsidR="00F31230">
        <w:rPr>
          <w:rFonts w:cs="Times New Roman"/>
          <w:szCs w:val="24"/>
          <w:lang w:val="hr-HR"/>
        </w:rPr>
        <w:t xml:space="preserve">202.635,94 </w:t>
      </w:r>
      <w:r w:rsidRPr="00125C0F">
        <w:rPr>
          <w:rFonts w:cs="Times New Roman"/>
          <w:szCs w:val="24"/>
          <w:lang w:val="hr-HR"/>
        </w:rPr>
        <w:t>kune</w:t>
      </w:r>
      <w:r>
        <w:rPr>
          <w:rFonts w:cs="Times New Roman"/>
          <w:szCs w:val="24"/>
          <w:lang w:val="hr-HR"/>
        </w:rPr>
        <w:t xml:space="preserve"> koji </w:t>
      </w:r>
      <w:r w:rsidR="00F31230">
        <w:rPr>
          <w:rFonts w:cs="Times New Roman"/>
          <w:szCs w:val="24"/>
          <w:lang w:val="hr-HR"/>
        </w:rPr>
        <w:t>zajedno sa prenesenim viškom prihoda čini ukupan višak prihoda u iznosu od 1.230</w:t>
      </w:r>
      <w:r w:rsidR="00693381">
        <w:rPr>
          <w:rFonts w:cs="Times New Roman"/>
          <w:szCs w:val="24"/>
          <w:lang w:val="hr-HR"/>
        </w:rPr>
        <w:t>.</w:t>
      </w:r>
      <w:r w:rsidR="00F31230">
        <w:rPr>
          <w:rFonts w:cs="Times New Roman"/>
          <w:szCs w:val="24"/>
          <w:lang w:val="hr-HR"/>
        </w:rPr>
        <w:t>20</w:t>
      </w:r>
      <w:r w:rsidR="00693381">
        <w:rPr>
          <w:rFonts w:cs="Times New Roman"/>
          <w:szCs w:val="24"/>
          <w:lang w:val="hr-HR"/>
        </w:rPr>
        <w:t>4,92 kn.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prihodima su iskazani prihodi od poreza</w:t>
      </w:r>
      <w:r w:rsidR="00BA332A">
        <w:rPr>
          <w:rFonts w:cs="Times New Roman"/>
          <w:szCs w:val="24"/>
          <w:lang w:val="hr-HR"/>
        </w:rPr>
        <w:t xml:space="preserve"> </w:t>
      </w:r>
      <w:r w:rsidR="00693381">
        <w:rPr>
          <w:rFonts w:cs="Times New Roman"/>
          <w:szCs w:val="24"/>
          <w:lang w:val="hr-HR"/>
        </w:rPr>
        <w:t>714.994,45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pomoći</w:t>
      </w:r>
      <w:r w:rsidR="00693381">
        <w:rPr>
          <w:rFonts w:cs="Times New Roman"/>
          <w:szCs w:val="24"/>
          <w:lang w:val="hr-HR"/>
        </w:rPr>
        <w:t xml:space="preserve"> 4.430.654,03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prihodi od imovine</w:t>
      </w:r>
      <w:r w:rsidR="00693381">
        <w:rPr>
          <w:rFonts w:cs="Times New Roman"/>
          <w:szCs w:val="24"/>
          <w:lang w:val="hr-HR"/>
        </w:rPr>
        <w:t xml:space="preserve"> 14.536,76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prihodi od pristojbi i naknada</w:t>
      </w:r>
      <w:r w:rsidR="00693381">
        <w:rPr>
          <w:rFonts w:cs="Times New Roman"/>
          <w:szCs w:val="24"/>
          <w:lang w:val="hr-HR"/>
        </w:rPr>
        <w:t xml:space="preserve"> 99.190,39</w:t>
      </w:r>
      <w:r>
        <w:rPr>
          <w:rFonts w:cs="Times New Roman"/>
          <w:szCs w:val="24"/>
          <w:lang w:val="hr-HR"/>
        </w:rPr>
        <w:t xml:space="preserve"> kn</w:t>
      </w:r>
      <w:r w:rsidR="00696302">
        <w:rPr>
          <w:rFonts w:cs="Times New Roman"/>
          <w:szCs w:val="24"/>
          <w:lang w:val="hr-HR"/>
        </w:rPr>
        <w:t xml:space="preserve">, </w:t>
      </w:r>
      <w:r w:rsidR="00693381">
        <w:rPr>
          <w:rFonts w:cs="Times New Roman"/>
          <w:szCs w:val="24"/>
          <w:lang w:val="hr-HR"/>
        </w:rPr>
        <w:t>prihodi od kapitalnih donacija 1</w:t>
      </w:r>
      <w:r w:rsidR="00696302">
        <w:rPr>
          <w:rFonts w:cs="Times New Roman"/>
          <w:szCs w:val="24"/>
          <w:lang w:val="hr-HR"/>
        </w:rPr>
        <w:t>00.000,00 kn</w:t>
      </w:r>
      <w:r w:rsidR="00693381">
        <w:rPr>
          <w:rFonts w:cs="Times New Roman"/>
          <w:szCs w:val="24"/>
          <w:lang w:val="hr-HR"/>
        </w:rPr>
        <w:t>, te prihodi od prodaje imovine 51.500,00 kn.</w:t>
      </w:r>
    </w:p>
    <w:p w:rsidR="00B16283" w:rsidRDefault="00B16283" w:rsidP="00B16283">
      <w:pPr>
        <w:rPr>
          <w:rFonts w:cs="Times New Roman"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rashodima su iskazani rashodi za zaposlene</w:t>
      </w:r>
      <w:r w:rsidR="00BD7D83">
        <w:rPr>
          <w:rFonts w:cs="Times New Roman"/>
          <w:szCs w:val="24"/>
          <w:lang w:val="hr-HR"/>
        </w:rPr>
        <w:t xml:space="preserve"> 1.677.747.45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materijalni rashodi</w:t>
      </w:r>
      <w:r w:rsidR="00BD7D83">
        <w:rPr>
          <w:rFonts w:cs="Times New Roman"/>
          <w:szCs w:val="24"/>
          <w:lang w:val="hr-HR"/>
        </w:rPr>
        <w:t xml:space="preserve"> 1.079.205,09</w:t>
      </w:r>
      <w:r w:rsidR="00177CA6">
        <w:rPr>
          <w:rFonts w:cs="Times New Roman"/>
          <w:szCs w:val="24"/>
          <w:lang w:val="hr-HR"/>
        </w:rPr>
        <w:t xml:space="preserve"> </w:t>
      </w:r>
      <w:r>
        <w:rPr>
          <w:rFonts w:cs="Times New Roman"/>
          <w:szCs w:val="24"/>
          <w:lang w:val="hr-HR"/>
        </w:rPr>
        <w:t>kn</w:t>
      </w:r>
      <w:r w:rsidRPr="00D41A72">
        <w:rPr>
          <w:rFonts w:cs="Times New Roman"/>
          <w:szCs w:val="24"/>
          <w:lang w:val="hr-HR"/>
        </w:rPr>
        <w:t>, financijski rashodi</w:t>
      </w:r>
      <w:r w:rsidR="00BD7D83">
        <w:rPr>
          <w:rFonts w:cs="Times New Roman"/>
          <w:szCs w:val="24"/>
          <w:lang w:val="hr-HR"/>
        </w:rPr>
        <w:t xml:space="preserve"> 17</w:t>
      </w:r>
      <w:r w:rsidR="00622747">
        <w:rPr>
          <w:rFonts w:cs="Times New Roman"/>
          <w:szCs w:val="24"/>
          <w:lang w:val="hr-HR"/>
        </w:rPr>
        <w:t>.</w:t>
      </w:r>
      <w:r w:rsidR="00BD7D83">
        <w:rPr>
          <w:rFonts w:cs="Times New Roman"/>
          <w:szCs w:val="24"/>
          <w:lang w:val="hr-HR"/>
        </w:rPr>
        <w:t xml:space="preserve">246,96 </w:t>
      </w:r>
      <w:r>
        <w:rPr>
          <w:rFonts w:cs="Times New Roman"/>
          <w:szCs w:val="24"/>
          <w:lang w:val="hr-HR"/>
        </w:rPr>
        <w:t xml:space="preserve">kn </w:t>
      </w:r>
      <w:r w:rsidRPr="00D41A72">
        <w:rPr>
          <w:rFonts w:cs="Times New Roman"/>
          <w:szCs w:val="24"/>
          <w:lang w:val="hr-HR"/>
        </w:rPr>
        <w:t>, pomoći dane unutar općeg proračuna</w:t>
      </w:r>
      <w:r w:rsidR="00BA332A">
        <w:rPr>
          <w:rFonts w:cs="Times New Roman"/>
          <w:szCs w:val="24"/>
          <w:lang w:val="hr-HR"/>
        </w:rPr>
        <w:t xml:space="preserve"> </w:t>
      </w:r>
      <w:r w:rsidR="00BD7D83">
        <w:rPr>
          <w:rFonts w:cs="Times New Roman"/>
          <w:szCs w:val="24"/>
          <w:lang w:val="hr-HR"/>
        </w:rPr>
        <w:t>1</w:t>
      </w:r>
      <w:r w:rsidR="00177CA6">
        <w:rPr>
          <w:rFonts w:cs="Times New Roman"/>
          <w:szCs w:val="24"/>
          <w:lang w:val="hr-HR"/>
        </w:rPr>
        <w:t xml:space="preserve">9.000,00 </w:t>
      </w:r>
      <w:r>
        <w:rPr>
          <w:rFonts w:cs="Times New Roman"/>
          <w:szCs w:val="24"/>
          <w:lang w:val="hr-HR"/>
        </w:rPr>
        <w:t>kn</w:t>
      </w:r>
      <w:r w:rsidRPr="00D41A72">
        <w:rPr>
          <w:rFonts w:cs="Times New Roman"/>
          <w:szCs w:val="24"/>
          <w:lang w:val="hr-HR"/>
        </w:rPr>
        <w:t>, naknade građanima i kućanstvima</w:t>
      </w:r>
      <w:r w:rsidR="00BD7D83">
        <w:rPr>
          <w:rFonts w:cs="Times New Roman"/>
          <w:szCs w:val="24"/>
          <w:lang w:val="hr-HR"/>
        </w:rPr>
        <w:t xml:space="preserve"> 431.953,47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ostali rashodi</w:t>
      </w:r>
      <w:r w:rsidR="00BA332A">
        <w:rPr>
          <w:rFonts w:cs="Times New Roman"/>
          <w:szCs w:val="24"/>
          <w:lang w:val="hr-HR"/>
        </w:rPr>
        <w:t xml:space="preserve"> </w:t>
      </w:r>
      <w:r w:rsidR="00622747">
        <w:rPr>
          <w:rFonts w:cs="Times New Roman"/>
          <w:szCs w:val="24"/>
          <w:lang w:val="hr-HR"/>
        </w:rPr>
        <w:t>803.095,97 kn</w:t>
      </w:r>
      <w:r w:rsidRPr="00D41A72">
        <w:rPr>
          <w:rFonts w:cs="Times New Roman"/>
          <w:szCs w:val="24"/>
          <w:lang w:val="hr-HR"/>
        </w:rPr>
        <w:t xml:space="preserve"> i rashodi za nabavu nefinancijske imovine</w:t>
      </w:r>
      <w:r w:rsidR="00622747">
        <w:rPr>
          <w:rFonts w:cs="Times New Roman"/>
          <w:szCs w:val="24"/>
          <w:lang w:val="hr-HR"/>
        </w:rPr>
        <w:t xml:space="preserve"> 1.179.990,75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.</w:t>
      </w:r>
    </w:p>
    <w:p w:rsidR="00B16283" w:rsidRDefault="00B16283" w:rsidP="00B16283">
      <w:pPr>
        <w:jc w:val="center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center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financiranja.  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Računu financiranja iskazuju se primici od financijske imovine i zaduživanja te izdaci za financijsku imovinu i otplatu zajmova.</w:t>
      </w:r>
    </w:p>
    <w:p w:rsidR="00C03ADE" w:rsidRDefault="00C03ADE" w:rsidP="00B16283">
      <w:pPr>
        <w:jc w:val="both"/>
        <w:rPr>
          <w:rFonts w:cs="Times New Roman"/>
          <w:szCs w:val="24"/>
          <w:lang w:val="hr-HR"/>
        </w:rPr>
      </w:pPr>
    </w:p>
    <w:p w:rsidR="00C03ADE" w:rsidRPr="00D41A72" w:rsidRDefault="00C03ADE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C03ADE">
        <w:rPr>
          <w:rFonts w:cs="Times New Roman"/>
          <w:b/>
          <w:szCs w:val="24"/>
          <w:lang w:val="hr-HR"/>
        </w:rPr>
        <w:t>Posebni dio Proračuna</w:t>
      </w:r>
      <w:r w:rsidRPr="00D41A72">
        <w:rPr>
          <w:rFonts w:cs="Times New Roman"/>
          <w:szCs w:val="24"/>
          <w:lang w:val="hr-HR"/>
        </w:rPr>
        <w:t xml:space="preserve"> sastoji se od plana rashoda i izdataka korisnika proračunskih sredstava iskazanih po vrstama, raspoređenih u programe koji se sastoje od aktivnosti i projekata.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Prihodi, primici, rashodi i izdaci proračuna iskazani su prema organizacijskoj, ekonomskoj, funkcijskoj, lokacijskoj i programskoj proračunskoj klasifikaciji te izvorima financiranja.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center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IZVRŠAVANJE PRORAČUNA</w:t>
      </w:r>
    </w:p>
    <w:p w:rsidR="00B16283" w:rsidRPr="00D41A72" w:rsidRDefault="00B16283" w:rsidP="00B16283">
      <w:pPr>
        <w:jc w:val="center"/>
        <w:rPr>
          <w:rFonts w:cs="Times New Roman"/>
          <w:b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PRIHODI I PRIMICI PRORAČUNA TE UPLATE U PRORAČUN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Jedinstveni upravni odjel Općine odgovor</w:t>
      </w:r>
      <w:r>
        <w:rPr>
          <w:rFonts w:cs="Times New Roman"/>
          <w:szCs w:val="24"/>
          <w:lang w:val="hr-HR"/>
        </w:rPr>
        <w:t>an je</w:t>
      </w:r>
      <w:r w:rsidRPr="00D41A72">
        <w:rPr>
          <w:rFonts w:cs="Times New Roman"/>
          <w:szCs w:val="24"/>
          <w:lang w:val="hr-HR"/>
        </w:rPr>
        <w:t xml:space="preserve"> za potpunu i pravodobnu naplatu prihoda i primitaka iz svoje nadležnosti, za njihovu uplatu u Proračun i za izvršavanje svih rashoda i izdataka u skladu s planiranim namjenama.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Prihodi proračuna i proračunskih korisnika uplaćuju se </w:t>
      </w:r>
      <w:r>
        <w:rPr>
          <w:rFonts w:cs="Times New Roman"/>
          <w:szCs w:val="24"/>
          <w:lang w:val="hr-HR"/>
        </w:rPr>
        <w:t>na račun Općine Negoslavci, IBAN HR2025000091861200004</w:t>
      </w:r>
      <w:r w:rsidRPr="00D41A72">
        <w:rPr>
          <w:rFonts w:cs="Times New Roman"/>
          <w:szCs w:val="24"/>
          <w:lang w:val="hr-HR"/>
        </w:rPr>
        <w:t xml:space="preserve"> u</w:t>
      </w:r>
      <w:r w:rsidR="00BA332A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skladu sa zakonom, drugim propisima ili aktima, neovisno o visini prihoda planiranih u proračunu.</w:t>
      </w:r>
      <w:r w:rsidR="00BA332A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Prihodi i primici uplaćeni u proračun do kraja tekuće godine prihod su proračuna tekuće godine.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</w:t>
      </w:r>
      <w:r w:rsidRPr="00D41A72">
        <w:rPr>
          <w:rFonts w:cs="Times New Roman"/>
          <w:szCs w:val="24"/>
          <w:lang w:val="hr-HR"/>
        </w:rPr>
        <w:t xml:space="preserve">rihodi i primici proračuna </w:t>
      </w:r>
      <w:r>
        <w:rPr>
          <w:rFonts w:cs="Times New Roman"/>
          <w:szCs w:val="24"/>
          <w:lang w:val="hr-HR"/>
        </w:rPr>
        <w:t xml:space="preserve">za </w:t>
      </w:r>
      <w:r w:rsidR="004D528D">
        <w:rPr>
          <w:rFonts w:cs="Times New Roman"/>
          <w:szCs w:val="24"/>
          <w:lang w:val="hr-HR"/>
        </w:rPr>
        <w:t>202</w:t>
      </w:r>
      <w:r w:rsidR="00622747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>
        <w:rPr>
          <w:rFonts w:cs="Times New Roman"/>
          <w:szCs w:val="24"/>
          <w:lang w:val="hr-HR"/>
        </w:rPr>
        <w:t xml:space="preserve"> godinu </w:t>
      </w:r>
      <w:r w:rsidRPr="00D41A72">
        <w:rPr>
          <w:rFonts w:cs="Times New Roman"/>
          <w:szCs w:val="24"/>
          <w:lang w:val="hr-HR"/>
        </w:rPr>
        <w:t xml:space="preserve">su </w:t>
      </w:r>
      <w:r>
        <w:rPr>
          <w:rFonts w:cs="Times New Roman"/>
          <w:szCs w:val="24"/>
          <w:lang w:val="hr-HR"/>
        </w:rPr>
        <w:t>p</w:t>
      </w:r>
      <w:r w:rsidRPr="001B1DEA">
        <w:rPr>
          <w:rFonts w:cs="Times New Roman"/>
          <w:szCs w:val="24"/>
          <w:lang w:val="hr-HR"/>
        </w:rPr>
        <w:t>orez i prirez na dohodak</w:t>
      </w:r>
      <w:r w:rsidR="00622747">
        <w:rPr>
          <w:rFonts w:cs="Times New Roman"/>
          <w:szCs w:val="24"/>
          <w:lang w:val="hr-HR"/>
        </w:rPr>
        <w:t xml:space="preserve"> 555.667,22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orez na imovinu</w:t>
      </w:r>
      <w:r w:rsidR="00622747">
        <w:rPr>
          <w:rFonts w:cs="Times New Roman"/>
          <w:szCs w:val="24"/>
          <w:lang w:val="hr-HR"/>
        </w:rPr>
        <w:t xml:space="preserve"> 15.297,22 </w:t>
      </w:r>
      <w:r w:rsidR="00E7595B">
        <w:rPr>
          <w:rFonts w:cs="Times New Roman"/>
          <w:szCs w:val="24"/>
          <w:lang w:val="hr-HR"/>
        </w:rPr>
        <w:t>kn,</w:t>
      </w:r>
      <w:r>
        <w:rPr>
          <w:rFonts w:cs="Times New Roman"/>
          <w:szCs w:val="24"/>
          <w:lang w:val="hr-HR"/>
        </w:rPr>
        <w:t xml:space="preserve"> p</w:t>
      </w:r>
      <w:r w:rsidRPr="001B1DEA">
        <w:rPr>
          <w:rFonts w:cs="Times New Roman"/>
          <w:szCs w:val="24"/>
          <w:lang w:val="hr-HR"/>
        </w:rPr>
        <w:t>orezi na robu i usluge</w:t>
      </w:r>
      <w:r w:rsidR="00622747">
        <w:rPr>
          <w:rFonts w:cs="Times New Roman"/>
          <w:szCs w:val="24"/>
          <w:lang w:val="hr-HR"/>
        </w:rPr>
        <w:t xml:space="preserve"> 1.030,01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omoći iz proračuna</w:t>
      </w:r>
      <w:r w:rsidR="009B3091">
        <w:rPr>
          <w:rFonts w:cs="Times New Roman"/>
          <w:szCs w:val="24"/>
          <w:lang w:val="hr-HR"/>
        </w:rPr>
        <w:t xml:space="preserve"> 3.031.094,68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 xml:space="preserve">omoći od </w:t>
      </w:r>
      <w:r>
        <w:rPr>
          <w:rFonts w:cs="Times New Roman"/>
          <w:szCs w:val="24"/>
          <w:lang w:val="hr-HR"/>
        </w:rPr>
        <w:t>ostalih s</w:t>
      </w:r>
      <w:r w:rsidRPr="001B1DEA">
        <w:rPr>
          <w:rFonts w:cs="Times New Roman"/>
          <w:szCs w:val="24"/>
          <w:lang w:val="hr-HR"/>
        </w:rPr>
        <w:t>ubjekata unutar općeg proračuna</w:t>
      </w:r>
      <w:r w:rsidR="009B3091">
        <w:rPr>
          <w:rFonts w:cs="Times New Roman"/>
          <w:szCs w:val="24"/>
          <w:lang w:val="hr-HR"/>
        </w:rPr>
        <w:t xml:space="preserve"> 395.885,19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omoći temeljem prijenosa EU sredstava</w:t>
      </w:r>
      <w:r w:rsidR="009B3091">
        <w:rPr>
          <w:rFonts w:cs="Times New Roman"/>
          <w:szCs w:val="24"/>
          <w:lang w:val="hr-HR"/>
        </w:rPr>
        <w:t xml:space="preserve"> 1.003.674,16</w:t>
      </w:r>
      <w:r w:rsidR="003F1310">
        <w:rPr>
          <w:rFonts w:cs="Times New Roman"/>
          <w:szCs w:val="24"/>
          <w:lang w:val="hr-HR"/>
        </w:rPr>
        <w:t xml:space="preserve"> </w:t>
      </w:r>
      <w:r>
        <w:rPr>
          <w:rFonts w:cs="Times New Roman"/>
          <w:szCs w:val="24"/>
          <w:lang w:val="hr-HR"/>
        </w:rPr>
        <w:t>kn, p</w:t>
      </w:r>
      <w:r w:rsidRPr="001B1DEA">
        <w:rPr>
          <w:rFonts w:cs="Times New Roman"/>
          <w:szCs w:val="24"/>
          <w:lang w:val="hr-HR"/>
        </w:rPr>
        <w:t>rihodi od kamata</w:t>
      </w:r>
      <w:r w:rsidR="003F1310">
        <w:rPr>
          <w:rFonts w:cs="Times New Roman"/>
          <w:szCs w:val="24"/>
          <w:lang w:val="hr-HR"/>
        </w:rPr>
        <w:t xml:space="preserve"> </w:t>
      </w:r>
      <w:r w:rsidR="009B3091">
        <w:rPr>
          <w:rFonts w:cs="Times New Roman"/>
          <w:szCs w:val="24"/>
          <w:lang w:val="hr-HR"/>
        </w:rPr>
        <w:t>154,08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rihodi od nefinancijske imovine</w:t>
      </w:r>
      <w:r w:rsidR="009B3091">
        <w:rPr>
          <w:rFonts w:cs="Times New Roman"/>
          <w:szCs w:val="24"/>
          <w:lang w:val="hr-HR"/>
        </w:rPr>
        <w:t xml:space="preserve"> 14.382,68</w:t>
      </w:r>
      <w:r>
        <w:rPr>
          <w:rFonts w:cs="Times New Roman"/>
          <w:szCs w:val="24"/>
          <w:lang w:val="hr-HR"/>
        </w:rPr>
        <w:t xml:space="preserve"> kn, a</w:t>
      </w:r>
      <w:r w:rsidRPr="001B1DEA">
        <w:rPr>
          <w:rFonts w:cs="Times New Roman"/>
          <w:szCs w:val="24"/>
          <w:lang w:val="hr-HR"/>
        </w:rPr>
        <w:t>dministrativn</w:t>
      </w:r>
      <w:r w:rsidR="0014104B">
        <w:rPr>
          <w:rFonts w:cs="Times New Roman"/>
          <w:szCs w:val="24"/>
          <w:lang w:val="hr-HR"/>
        </w:rPr>
        <w:t>e</w:t>
      </w:r>
      <w:r w:rsidRPr="001B1DEA">
        <w:rPr>
          <w:rFonts w:cs="Times New Roman"/>
          <w:szCs w:val="24"/>
          <w:lang w:val="hr-HR"/>
        </w:rPr>
        <w:t xml:space="preserve"> (upravne) pristojbe</w:t>
      </w:r>
      <w:r w:rsidR="00934EB6">
        <w:rPr>
          <w:rFonts w:cs="Times New Roman"/>
          <w:szCs w:val="24"/>
          <w:lang w:val="hr-HR"/>
        </w:rPr>
        <w:t xml:space="preserve"> 4.141,56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rihodi po posebnim propisima</w:t>
      </w:r>
      <w:r w:rsidR="00934EB6">
        <w:rPr>
          <w:rFonts w:cs="Times New Roman"/>
          <w:szCs w:val="24"/>
          <w:lang w:val="hr-HR"/>
        </w:rPr>
        <w:t xml:space="preserve"> 62,09</w:t>
      </w:r>
      <w:r>
        <w:rPr>
          <w:rFonts w:cs="Times New Roman"/>
          <w:szCs w:val="24"/>
          <w:lang w:val="hr-HR"/>
        </w:rPr>
        <w:t xml:space="preserve"> kn, k</w:t>
      </w:r>
      <w:r w:rsidRPr="001B1DEA">
        <w:rPr>
          <w:rFonts w:cs="Times New Roman"/>
          <w:szCs w:val="24"/>
          <w:lang w:val="hr-HR"/>
        </w:rPr>
        <w:t>omunalni doprinosi i druge naknade</w:t>
      </w:r>
      <w:r w:rsidRPr="001B1DEA">
        <w:rPr>
          <w:rFonts w:cs="Times New Roman"/>
          <w:szCs w:val="24"/>
          <w:lang w:val="hr-HR"/>
        </w:rPr>
        <w:tab/>
      </w:r>
      <w:r w:rsidR="00934EB6">
        <w:rPr>
          <w:rFonts w:cs="Times New Roman"/>
          <w:szCs w:val="24"/>
          <w:lang w:val="hr-HR"/>
        </w:rPr>
        <w:t>94.986,74</w:t>
      </w:r>
      <w:r>
        <w:rPr>
          <w:rFonts w:cs="Times New Roman"/>
          <w:szCs w:val="24"/>
          <w:lang w:val="hr-HR"/>
        </w:rPr>
        <w:t xml:space="preserve"> kn</w:t>
      </w:r>
      <w:r w:rsidR="004D1AB1">
        <w:rPr>
          <w:rFonts w:cs="Times New Roman"/>
          <w:szCs w:val="24"/>
          <w:lang w:val="hr-HR"/>
        </w:rPr>
        <w:t>,</w:t>
      </w:r>
      <w:r w:rsidR="0014104B">
        <w:rPr>
          <w:rFonts w:cs="Times New Roman"/>
          <w:szCs w:val="24"/>
          <w:lang w:val="hr-HR"/>
        </w:rPr>
        <w:t xml:space="preserve"> kapitalne donacije </w:t>
      </w:r>
      <w:r w:rsidR="00934EB6">
        <w:rPr>
          <w:rFonts w:cs="Times New Roman"/>
          <w:szCs w:val="24"/>
          <w:lang w:val="hr-HR"/>
        </w:rPr>
        <w:t>1</w:t>
      </w:r>
      <w:r w:rsidR="0014104B">
        <w:rPr>
          <w:rFonts w:cs="Times New Roman"/>
          <w:szCs w:val="24"/>
          <w:lang w:val="hr-HR"/>
        </w:rPr>
        <w:t>00.000,00</w:t>
      </w:r>
      <w:r w:rsidR="004D1AB1">
        <w:rPr>
          <w:rFonts w:cs="Times New Roman"/>
          <w:szCs w:val="24"/>
          <w:lang w:val="hr-HR"/>
        </w:rPr>
        <w:t xml:space="preserve"> kn</w:t>
      </w:r>
      <w:r w:rsidR="00934EB6">
        <w:rPr>
          <w:rFonts w:cs="Times New Roman"/>
          <w:szCs w:val="24"/>
          <w:lang w:val="hr-HR"/>
        </w:rPr>
        <w:t>, te prihodi od prodaje imovine 51.500,00 kn.</w:t>
      </w:r>
    </w:p>
    <w:p w:rsidR="00B16283" w:rsidRPr="00D41A72" w:rsidRDefault="00B16283" w:rsidP="00CA40CE">
      <w:pPr>
        <w:jc w:val="center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Prihodi i primici iz stavka 1. ovoga članka uplaćuju se u Proračun i koriste isključivo za namjene</w:t>
      </w:r>
      <w:r w:rsidR="009B3091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utvrđene planom.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Namjenski prihodi iz članka 5. ove Odluke koji nisu iskorišteni u tekućoj godini prenose se u sljedeću proračunsku godinu.</w:t>
      </w:r>
      <w:r w:rsidR="009B3091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</w:t>
      </w:r>
      <w:r>
        <w:rPr>
          <w:rFonts w:cs="Times New Roman"/>
          <w:szCs w:val="24"/>
          <w:lang w:val="hr-HR"/>
        </w:rPr>
        <w:t>Općinskog vijeća</w:t>
      </w:r>
      <w:r w:rsidRPr="00D41A72">
        <w:rPr>
          <w:rFonts w:cs="Times New Roman"/>
          <w:szCs w:val="24"/>
          <w:lang w:val="hr-HR"/>
        </w:rPr>
        <w:t>.</w:t>
      </w:r>
    </w:p>
    <w:p w:rsidR="00C03ADE" w:rsidRDefault="00C03ADE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8220A4">
      <w:pPr>
        <w:jc w:val="center"/>
        <w:rPr>
          <w:rFonts w:cs="Times New Roman"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 opseg prenesenih prihoda iz stavka 1. ovoga članka povećat će se plan Proračuna i financijski planovi proračunskih korisnika za tekuću godinu. 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:rsidR="00B16283" w:rsidRPr="0068141D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68141D">
        <w:rPr>
          <w:rFonts w:cs="Times New Roman"/>
          <w:szCs w:val="24"/>
          <w:lang w:val="hr-HR"/>
        </w:rPr>
        <w:t xml:space="preserve">Prema popisu potraživanja za komunalne naknade od građana i pravnih subjekata u </w:t>
      </w:r>
      <w:r w:rsidR="004D528D">
        <w:rPr>
          <w:rFonts w:cs="Times New Roman"/>
          <w:szCs w:val="24"/>
          <w:lang w:val="hr-HR"/>
        </w:rPr>
        <w:t>202</w:t>
      </w:r>
      <w:r w:rsidR="00FC06DC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68141D">
        <w:rPr>
          <w:rFonts w:cs="Times New Roman"/>
          <w:szCs w:val="24"/>
          <w:lang w:val="hr-HR"/>
        </w:rPr>
        <w:t xml:space="preserve"> </w:t>
      </w:r>
      <w:r w:rsidR="00FC06DC">
        <w:rPr>
          <w:rFonts w:cs="Times New Roman"/>
          <w:szCs w:val="24"/>
          <w:lang w:val="hr-HR"/>
        </w:rPr>
        <w:t>i</w:t>
      </w:r>
      <w:r w:rsidRPr="0068141D">
        <w:rPr>
          <w:rFonts w:cs="Times New Roman"/>
          <w:szCs w:val="24"/>
          <w:lang w:val="hr-HR"/>
        </w:rPr>
        <w:t xml:space="preserve">znose  </w:t>
      </w:r>
      <w:r w:rsidR="00FC06DC">
        <w:rPr>
          <w:rFonts w:cs="Times New Roman"/>
          <w:szCs w:val="24"/>
          <w:lang w:val="hr-HR"/>
        </w:rPr>
        <w:t>26.443,97</w:t>
      </w:r>
      <w:r w:rsidRPr="0068141D">
        <w:rPr>
          <w:rFonts w:cs="Times New Roman"/>
          <w:szCs w:val="24"/>
          <w:lang w:val="hr-HR"/>
        </w:rPr>
        <w:t xml:space="preserve"> kn, potraživanje za komunalni doprinos 1.427,70</w:t>
      </w:r>
      <w:r w:rsidR="00FC06DC">
        <w:rPr>
          <w:rFonts w:cs="Times New Roman"/>
          <w:szCs w:val="24"/>
          <w:lang w:val="hr-HR"/>
        </w:rPr>
        <w:t xml:space="preserve"> </w:t>
      </w:r>
      <w:r w:rsidRPr="0068141D">
        <w:rPr>
          <w:rFonts w:cs="Times New Roman"/>
          <w:szCs w:val="24"/>
          <w:lang w:val="hr-HR"/>
        </w:rPr>
        <w:t xml:space="preserve">kn i potraživanje za poreze </w:t>
      </w:r>
      <w:r w:rsidR="00FC06DC">
        <w:rPr>
          <w:rFonts w:cs="Times New Roman"/>
          <w:szCs w:val="24"/>
          <w:lang w:val="hr-HR"/>
        </w:rPr>
        <w:t>4.532,68</w:t>
      </w:r>
      <w:r w:rsidRPr="0068141D">
        <w:rPr>
          <w:rFonts w:cs="Times New Roman"/>
          <w:szCs w:val="24"/>
          <w:lang w:val="hr-HR"/>
        </w:rPr>
        <w:t xml:space="preserve"> kn  što ukupno iznosi </w:t>
      </w:r>
      <w:r w:rsidR="00FC06DC">
        <w:rPr>
          <w:rFonts w:cs="Times New Roman"/>
          <w:szCs w:val="24"/>
          <w:lang w:val="hr-HR"/>
        </w:rPr>
        <w:t>32.404,35</w:t>
      </w:r>
      <w:r w:rsidRPr="0068141D">
        <w:rPr>
          <w:rFonts w:cs="Times New Roman"/>
          <w:szCs w:val="24"/>
          <w:lang w:val="hr-HR"/>
        </w:rPr>
        <w:t xml:space="preserve"> kn.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Pogrešno ili više uplaćeni prihodi u Proračun, vraćaju se uplatiteljima na teret tih prihoda.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Pogrešno ili više uplaćeni prihodi u proračune prethodnih godina, vraćaju se uplatiteljima na teret</w:t>
      </w:r>
      <w:r w:rsidR="00FC06DC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rashoda Proračuna tekuće godine. Rješenje o povratu sredstava donosi Jedinstveni upravni odjel na temelju dokumentiranog zahtjeva.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RASHODI I IZDACI PRORAČUNA TE ISPLATE SREDSTVA IZ PRORAČUNA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Proračun se izvršava u skladu s raspoloživim sredstvima i dospjelim obvezama u razdoblju od 01.siječnja do 31. prosinca </w:t>
      </w:r>
      <w:r w:rsidR="004D528D">
        <w:rPr>
          <w:rFonts w:cs="Times New Roman"/>
          <w:szCs w:val="24"/>
          <w:lang w:val="hr-HR"/>
        </w:rPr>
        <w:t>202</w:t>
      </w:r>
      <w:r w:rsidR="00FC06DC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D41A72">
        <w:rPr>
          <w:rFonts w:cs="Times New Roman"/>
          <w:szCs w:val="24"/>
          <w:lang w:val="hr-HR"/>
        </w:rPr>
        <w:t xml:space="preserve"> godine. Proračunska sredstva se mogu koristiti samo za namjene utvrđene Proračunom i do visine utvrđene Proračunom.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mogu preuzimati obveze na teret Proračuna samo za namjene i do</w:t>
      </w:r>
    </w:p>
    <w:p w:rsidR="00B16283" w:rsidRPr="00D41A72" w:rsidRDefault="00B16283" w:rsidP="00B16283">
      <w:pPr>
        <w:jc w:val="both"/>
        <w:rPr>
          <w:rFonts w:cs="Times New Roman"/>
          <w:b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t>visine utvrđene u Posebnom dijelu Proračuna, odnosno do visin</w:t>
      </w:r>
      <w:r>
        <w:rPr>
          <w:rFonts w:cs="Times New Roman"/>
          <w:szCs w:val="24"/>
          <w:lang w:val="hr-HR"/>
        </w:rPr>
        <w:t>e ostvarenih namjenskih prihoda.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Rashodi proračuna za koje je obveza nastala u </w:t>
      </w:r>
      <w:r w:rsidR="004D528D">
        <w:rPr>
          <w:rFonts w:cs="Times New Roman"/>
          <w:szCs w:val="24"/>
          <w:lang w:val="hr-HR"/>
        </w:rPr>
        <w:t>202</w:t>
      </w:r>
      <w:r w:rsidR="00FC06DC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D41A72">
        <w:rPr>
          <w:rFonts w:cs="Times New Roman"/>
          <w:szCs w:val="24"/>
          <w:lang w:val="hr-HR"/>
        </w:rPr>
        <w:t xml:space="preserve"> godini rashodi su Proračuna za </w:t>
      </w:r>
      <w:r w:rsidR="004D528D">
        <w:rPr>
          <w:rFonts w:cs="Times New Roman"/>
          <w:szCs w:val="24"/>
          <w:lang w:val="hr-HR"/>
        </w:rPr>
        <w:t>202</w:t>
      </w:r>
      <w:r w:rsidR="00FC06DC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D41A72">
        <w:rPr>
          <w:rFonts w:cs="Times New Roman"/>
          <w:szCs w:val="24"/>
          <w:lang w:val="hr-HR"/>
        </w:rPr>
        <w:t xml:space="preserve"> godinu,</w:t>
      </w:r>
      <w:r w:rsidR="00FC06DC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neovisno o plaćanju. 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Aktivnosti i projekti za koje su sredstva bila osigurana u proračunu prethodne godine, a koji nisu</w:t>
      </w:r>
      <w:r w:rsidR="00FC06DC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izvršeni u prethodnoj godini do visine utvrđene proračunom, mogu se prenijeti i izvršavati u tekućoj godini do iznosa neutrošenih sredstava uz suglasnost </w:t>
      </w:r>
      <w:r>
        <w:rPr>
          <w:rFonts w:cs="Times New Roman"/>
          <w:szCs w:val="24"/>
          <w:lang w:val="hr-HR"/>
        </w:rPr>
        <w:t>Općinskog vijeća.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Sredstva za rashode i izdatke osiguravaju se u Proračunu za: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programe, projekte i aktivnosti općinskih tijela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ostale korisnike proračunskih sredstava po pojedinim projektima i aktivnostima.</w:t>
      </w:r>
    </w:p>
    <w:p w:rsidR="00B16283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 xml:space="preserve">Rashodi i izdaci za </w:t>
      </w:r>
      <w:r w:rsidR="004D528D">
        <w:rPr>
          <w:rFonts w:cs="Times New Roman"/>
          <w:szCs w:val="24"/>
          <w:lang w:val="hr-HR"/>
        </w:rPr>
        <w:t>202</w:t>
      </w:r>
      <w:r w:rsidR="00FC06DC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>
        <w:rPr>
          <w:rFonts w:cs="Times New Roman"/>
          <w:szCs w:val="24"/>
          <w:lang w:val="hr-HR"/>
        </w:rPr>
        <w:t xml:space="preserve"> godinu čine </w:t>
      </w:r>
      <w:r w:rsidR="00027156" w:rsidRPr="00D41A72">
        <w:rPr>
          <w:rFonts w:cs="Times New Roman"/>
          <w:szCs w:val="24"/>
          <w:lang w:val="hr-HR"/>
        </w:rPr>
        <w:t>rashodi za zaposlene</w:t>
      </w:r>
      <w:r w:rsidR="00027156">
        <w:rPr>
          <w:rFonts w:cs="Times New Roman"/>
          <w:szCs w:val="24"/>
          <w:lang w:val="hr-HR"/>
        </w:rPr>
        <w:t xml:space="preserve"> </w:t>
      </w:r>
      <w:r w:rsidR="00FC06DC">
        <w:rPr>
          <w:rFonts w:cs="Times New Roman"/>
          <w:szCs w:val="24"/>
          <w:lang w:val="hr-HR"/>
        </w:rPr>
        <w:t>1.677.747,45</w:t>
      </w:r>
      <w:r w:rsidR="00027156">
        <w:rPr>
          <w:rFonts w:cs="Times New Roman"/>
          <w:szCs w:val="24"/>
          <w:lang w:val="hr-HR"/>
        </w:rPr>
        <w:t xml:space="preserve"> kn</w:t>
      </w:r>
      <w:r w:rsidR="00027156" w:rsidRPr="00D41A72">
        <w:rPr>
          <w:rFonts w:cs="Times New Roman"/>
          <w:szCs w:val="24"/>
          <w:lang w:val="hr-HR"/>
        </w:rPr>
        <w:t>, materijalni rashodi</w:t>
      </w:r>
      <w:r w:rsidR="00FC06DC">
        <w:rPr>
          <w:rFonts w:cs="Times New Roman"/>
          <w:szCs w:val="24"/>
          <w:lang w:val="hr-HR"/>
        </w:rPr>
        <w:t xml:space="preserve"> 1.079.205,09</w:t>
      </w:r>
      <w:r w:rsidR="00027156">
        <w:rPr>
          <w:rFonts w:cs="Times New Roman"/>
          <w:szCs w:val="24"/>
          <w:lang w:val="hr-HR"/>
        </w:rPr>
        <w:t xml:space="preserve"> kn</w:t>
      </w:r>
      <w:r w:rsidR="00027156" w:rsidRPr="00D41A72">
        <w:rPr>
          <w:rFonts w:cs="Times New Roman"/>
          <w:szCs w:val="24"/>
          <w:lang w:val="hr-HR"/>
        </w:rPr>
        <w:t>, financijski rashodi</w:t>
      </w:r>
      <w:r w:rsidR="00FC06DC">
        <w:rPr>
          <w:rFonts w:cs="Times New Roman"/>
          <w:szCs w:val="24"/>
          <w:lang w:val="hr-HR"/>
        </w:rPr>
        <w:t xml:space="preserve"> 17.246,96 </w:t>
      </w:r>
      <w:r w:rsidR="00027156">
        <w:rPr>
          <w:rFonts w:cs="Times New Roman"/>
          <w:szCs w:val="24"/>
          <w:lang w:val="hr-HR"/>
        </w:rPr>
        <w:t xml:space="preserve">kn </w:t>
      </w:r>
      <w:r w:rsidR="00027156" w:rsidRPr="00D41A72">
        <w:rPr>
          <w:rFonts w:cs="Times New Roman"/>
          <w:szCs w:val="24"/>
          <w:lang w:val="hr-HR"/>
        </w:rPr>
        <w:t>, pomoći dane unutar općeg proračuna</w:t>
      </w:r>
      <w:r w:rsidR="00FC06DC">
        <w:rPr>
          <w:rFonts w:cs="Times New Roman"/>
          <w:szCs w:val="24"/>
          <w:lang w:val="hr-HR"/>
        </w:rPr>
        <w:t xml:space="preserve"> 1</w:t>
      </w:r>
      <w:r w:rsidR="00027156">
        <w:rPr>
          <w:rFonts w:cs="Times New Roman"/>
          <w:szCs w:val="24"/>
          <w:lang w:val="hr-HR"/>
        </w:rPr>
        <w:t>9.000,00 kn</w:t>
      </w:r>
      <w:r w:rsidR="00027156" w:rsidRPr="00D41A72">
        <w:rPr>
          <w:rFonts w:cs="Times New Roman"/>
          <w:szCs w:val="24"/>
          <w:lang w:val="hr-HR"/>
        </w:rPr>
        <w:t>, naknade građanima i kućanstvima</w:t>
      </w:r>
      <w:r w:rsidR="00FC06DC">
        <w:rPr>
          <w:rFonts w:cs="Times New Roman"/>
          <w:szCs w:val="24"/>
          <w:lang w:val="hr-HR"/>
        </w:rPr>
        <w:t xml:space="preserve"> 431.953,47</w:t>
      </w:r>
      <w:r w:rsidR="00027156">
        <w:rPr>
          <w:rFonts w:cs="Times New Roman"/>
          <w:szCs w:val="24"/>
          <w:lang w:val="hr-HR"/>
        </w:rPr>
        <w:t xml:space="preserve"> kn</w:t>
      </w:r>
      <w:r w:rsidR="00027156" w:rsidRPr="00D41A72">
        <w:rPr>
          <w:rFonts w:cs="Times New Roman"/>
          <w:szCs w:val="24"/>
          <w:lang w:val="hr-HR"/>
        </w:rPr>
        <w:t>, ostali rashodi</w:t>
      </w:r>
      <w:r w:rsidR="00FC06DC">
        <w:rPr>
          <w:rFonts w:cs="Times New Roman"/>
          <w:szCs w:val="24"/>
          <w:lang w:val="hr-HR"/>
        </w:rPr>
        <w:t xml:space="preserve"> 803,095,97 </w:t>
      </w:r>
      <w:r w:rsidR="00027156">
        <w:rPr>
          <w:rFonts w:cs="Times New Roman"/>
          <w:szCs w:val="24"/>
          <w:lang w:val="hr-HR"/>
        </w:rPr>
        <w:t>kn</w:t>
      </w:r>
      <w:r w:rsidR="00027156" w:rsidRPr="00D41A72">
        <w:rPr>
          <w:rFonts w:cs="Times New Roman"/>
          <w:szCs w:val="24"/>
          <w:lang w:val="hr-HR"/>
        </w:rPr>
        <w:t xml:space="preserve"> i rashodi za nabavu nefinancijske imovine</w:t>
      </w:r>
      <w:r w:rsidR="00FC06DC">
        <w:rPr>
          <w:rFonts w:cs="Times New Roman"/>
          <w:szCs w:val="24"/>
          <w:lang w:val="hr-HR"/>
        </w:rPr>
        <w:t xml:space="preserve"> 1.179.</w:t>
      </w:r>
      <w:r w:rsidR="00066D7B">
        <w:rPr>
          <w:rFonts w:cs="Times New Roman"/>
          <w:szCs w:val="24"/>
          <w:lang w:val="hr-HR"/>
        </w:rPr>
        <w:t>990,75</w:t>
      </w:r>
      <w:r w:rsidR="00027156">
        <w:rPr>
          <w:rFonts w:cs="Times New Roman"/>
          <w:szCs w:val="24"/>
          <w:lang w:val="hr-HR"/>
        </w:rPr>
        <w:t xml:space="preserve"> kn</w:t>
      </w:r>
      <w:r>
        <w:rPr>
          <w:rFonts w:cs="Times New Roman"/>
          <w:szCs w:val="24"/>
          <w:lang w:val="hr-HR"/>
        </w:rPr>
        <w:t xml:space="preserve">. </w:t>
      </w:r>
    </w:p>
    <w:p w:rsidR="00B16283" w:rsidRDefault="00B16283" w:rsidP="00B16283">
      <w:pPr>
        <w:jc w:val="center"/>
        <w:rPr>
          <w:rFonts w:cs="Times New Roman"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Nalogodavci za izvršenje stavki iz Posebnog dijela Proračuna temeljem Odluka Općinskog vijeća i</w:t>
      </w:r>
      <w:r w:rsidR="00066D7B">
        <w:rPr>
          <w:rFonts w:cs="Times New Roman"/>
          <w:szCs w:val="24"/>
          <w:lang w:val="hr-HR"/>
        </w:rPr>
        <w:t xml:space="preserve"> </w:t>
      </w:r>
      <w:r w:rsidR="00E86642">
        <w:rPr>
          <w:rFonts w:cs="Times New Roman"/>
          <w:szCs w:val="24"/>
          <w:lang w:val="hr-HR"/>
        </w:rPr>
        <w:t xml:space="preserve">odluka </w:t>
      </w:r>
      <w:r w:rsidRPr="00D41A72">
        <w:rPr>
          <w:rFonts w:cs="Times New Roman"/>
          <w:szCs w:val="24"/>
          <w:lang w:val="hr-HR"/>
        </w:rPr>
        <w:t xml:space="preserve">Općinskog načelnika su općinski načelnik i Predsjednik Općinskog vijeća. Svaki rashod i izdatak iz proračuna mora se temeljiti na vjerodostojnoj knjigovodstvenoj ispravi kojom se dokazuje nastanak obveze. 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Nalogodavci moraju provjeriti i potpisati pravni temelj i visinu nastale obveze koja proizlazi iz knjigovodstvene isprave, odrediti oznake proračunskih klasifikacija na teret kojih se obveze evidentiraju i isplaćuju te izdati odgovarajući nalog za knjiženje i plaćanje obveze.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Zaključivanje pisanog ugovora s udrugama, kao korisnicima proračunskih sredstava, obavezno je</w:t>
      </w:r>
      <w:r w:rsidR="00066D7B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bez obzira na iznos donacije. 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s ostalim pravnim subjektima, kao korisnicima proračunskih sredstava, obavezno je za sredstva koja se izvršavaju kao subvencije, donacije ili pomoći iznad 10.000,00 kuna.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Odlukama i rješenjima</w:t>
      </w:r>
      <w:r w:rsidRPr="00D41A72">
        <w:rPr>
          <w:rFonts w:cs="Times New Roman"/>
          <w:szCs w:val="24"/>
          <w:lang w:val="hr-HR"/>
        </w:rPr>
        <w:t xml:space="preserve"> za subvencije, donacije i pomoći koji se zaključuju temeljem natječaja o financiranju</w:t>
      </w:r>
      <w:r w:rsidR="00066D7B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javnih potreba utvrdit će se dinamika dodjele sredstava ovisno o visini ukupno odobrenih i raspoloživih sredstava.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Ugovorima će se, između ostalog, utvrditi i obveze korisnika proračunskih sredstva za namjensko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>trošenje sredstava, za pravodobno dostavljanje izvještaja i za realizaciju ugovorenog programa.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obavezno je i za sve nabave roba, usluga i ustupanje radova od iznosa za koji je obvezna primjena Zakona o javnoj nabavi. Sve ugovore zaključuje i potpisuje Općinski načelnik.</w:t>
      </w:r>
    </w:p>
    <w:p w:rsidR="00E8664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</w:p>
    <w:p w:rsidR="00E86642" w:rsidRDefault="00E86642">
      <w:pPr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br w:type="page"/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URAVNOTEŽENJE PRORAČUNA I PRERASPODJELA SREDSTAVA PRORAČUNA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Ako tijekom proračunske godine dođe do znatnije neusklađenosti u ostvarivanju planiranih prihoda i/ili primitaka te rashoda i/ili izdataka Proračun se mora uravnotežiti izmjenama i dopunama Proračuna prema postupku propisanom za donošenje proračuna.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Općinski načelnik može odobriti preraspodjelu sredstava unutar proračunskih stavaka pojedinog</w:t>
      </w:r>
      <w:r w:rsidR="00066D7B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razdjela i između pojedinih razdjela najviše do 5% rashoda i izdataka planiranih na proračunskoj stavci koja se umanjuje. Općinski načelnik izvješćuje Općinsko vijeće o odobrenoj preraspodjeli sredstava uz polugodišnji i godišnji izvještaj o izvršenju Proračuna.</w:t>
      </w:r>
    </w:p>
    <w:p w:rsidR="00B16283" w:rsidRPr="00D41A72" w:rsidRDefault="00EE5D2C" w:rsidP="00B16283">
      <w:pPr>
        <w:jc w:val="center"/>
        <w:rPr>
          <w:rFonts w:cs="Times New Roman"/>
          <w:szCs w:val="24"/>
          <w:lang w:val="hr-HR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F83FDBA6-A2E0-4AC4-AB71-D2D7836D04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UPRAVLJANJE IMOVINOM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Općinski načelnik odlučuje o stjecanju i otuđenju pokretnina i nekretnina, odnosno raspolaganju ostalom imovinom Općine čija pojedinačna vrijednost ne prelazi 0,5% prihoda Proračuna bez primitaka ostvarenih u prethodnoj godini uz uvjet da je stjecanje i otuđivanje nekretnina i pokretnina, odnosno raspolaganje imovinom planirano u Proračunu i provedeno u skladu sa zakonskim propisima.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Raspoloživim novčanim sredstvima na računu Proračuna upravlja Općinski načelnik. Slobodna novčana sredstva Proračuna mogu se oročiti kod poslovne banke poštujući načela sigurnosti i likvidnosti. Ugovor o oročavanju sklapa Općinski načelnik. Prihodi od upravljanja slobodnim novčanim sredstvima prihod su Proračuna. Novčana sredstva iz stavka 1. ovog članka mogu se plasirati samo s povratom do 31. prosinca </w:t>
      </w:r>
      <w:r w:rsidR="004D528D">
        <w:rPr>
          <w:rFonts w:cs="Times New Roman"/>
          <w:szCs w:val="24"/>
          <w:lang w:val="hr-HR"/>
        </w:rPr>
        <w:t>202</w:t>
      </w:r>
      <w:r w:rsidR="00BD7D83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D41A72">
        <w:rPr>
          <w:rFonts w:cs="Times New Roman"/>
          <w:szCs w:val="24"/>
          <w:lang w:val="hr-HR"/>
        </w:rPr>
        <w:t xml:space="preserve"> godine.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  Općinski načelnik može, u skladu s propisima, otpisati ili djelomično otpisati potraživanje.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lastRenderedPageBreak/>
        <w:t>ZADUŽIVANJE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Općina se može dugoročno zaduživati uzimanjem kredita, zajmova i izdavanjem vrijednosnih papira za namjene i uz uvjete u skladu s propisima.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Općina se može kratkoročno zadužiti </w:t>
      </w:r>
      <w:r w:rsidRPr="00A609CC">
        <w:rPr>
          <w:rFonts w:cs="Times New Roman"/>
          <w:szCs w:val="24"/>
          <w:lang w:val="hr-HR"/>
        </w:rPr>
        <w:t xml:space="preserve">do iznosa od 1.000.000,00 </w:t>
      </w:r>
      <w:r w:rsidRPr="00D41A72">
        <w:rPr>
          <w:rFonts w:cs="Times New Roman"/>
          <w:szCs w:val="24"/>
          <w:lang w:val="hr-HR"/>
        </w:rPr>
        <w:t>kuna uzimanjem kredita ili zajmova kod poslovnih banaka i drugih kreditnih institucija te uzimanjem okvirnog kredita kod poslovne banke kod koje ima otvoren račun.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odlučuje o kratkoročnom zaduživanju i ovlašten je za postupanje vezano uz kratkoročno zaduživanje uz uvjete iz 1. i 2. stavka ovoga članka.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PRORAČUNSKO RAČUNOVODSTVO I IZVJEŠTAVANJE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Proračun i općinski proračunski korisnici primjenjuju proračunsko računovodstvo. Prihodi i rashodi proračuna iskazuju se uz primjenu modificiranog računovodstvenog načela nastanka događaja. Primici i izdaci proračuna iskazuju se po načelu novčanog tijeka.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>Kontrolu postupaka u planiranju i izvršavanju proračuna, praćenje primjene proračunskog računovodstva te poslove financijskog i proračunskog izvještavanja za potrebe Općine obavlja Jedinstveni upravni odjel koji Općinskom načelniku podnosi izvješće o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 xml:space="preserve">izvršenju Proračuna u zakonskom roku, a Općinski načelnik podnosi Općinskom vijeću polugodišnji i godišnji izvještaj o izvršenju Proračuna u skladu s odredbama propisa o proračunskom izvještavanju. 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 xml:space="preserve">Ostali korisnici proračunskih sredstava dužni su općini dostaviti godišnje izvještaje o realizaciji programa i utrošenim proračunskim sredstvima s obrazloženjima u skladu s odredbama </w:t>
      </w:r>
      <w:r>
        <w:rPr>
          <w:rFonts w:cs="Times New Roman"/>
          <w:szCs w:val="24"/>
          <w:lang w:val="hr-HR"/>
        </w:rPr>
        <w:t>Zakona o Udrugama tzv</w:t>
      </w:r>
      <w:r w:rsidR="00FD2B71">
        <w:rPr>
          <w:rFonts w:cs="Times New Roman"/>
          <w:szCs w:val="24"/>
          <w:lang w:val="hr-HR"/>
        </w:rPr>
        <w:t>.</w:t>
      </w:r>
      <w:r>
        <w:rPr>
          <w:rFonts w:cs="Times New Roman"/>
          <w:szCs w:val="24"/>
          <w:lang w:val="hr-HR"/>
        </w:rPr>
        <w:t xml:space="preserve"> obrazac </w:t>
      </w:r>
      <w:r w:rsidR="00FD2B71">
        <w:rPr>
          <w:rFonts w:cs="Times New Roman"/>
          <w:szCs w:val="24"/>
          <w:lang w:val="hr-HR"/>
        </w:rPr>
        <w:t>PROR POT</w:t>
      </w:r>
      <w:r w:rsidRPr="00951C32">
        <w:rPr>
          <w:rFonts w:cs="Times New Roman"/>
          <w:szCs w:val="24"/>
          <w:lang w:val="hr-HR"/>
        </w:rPr>
        <w:t>-vidi natječaj.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i drugi korisnici proračunskih sredstava obvezni su nadležnim odsjecima dati sve dodatne podatke, isprave i izvješća koja se od njih zatraže.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ODGOVORNOST I OBVEZE U IZVRŠAVANJU PRORAČUNA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Općinski načelnik odgovoran je za zakonito i pravilno planiranje i izvršavanje proračuna. Preuzimanje obveza na teret Proračuna po ugovorima koji zahtijevaju plaćanje u sljedećim godinama odobrava Općinski načelnik. U okviru svog djelokruga i ovlasti, Općinski načelnik, </w:t>
      </w:r>
      <w:r>
        <w:rPr>
          <w:rFonts w:cs="Times New Roman"/>
          <w:szCs w:val="24"/>
          <w:lang w:val="hr-HR"/>
        </w:rPr>
        <w:t xml:space="preserve">i </w:t>
      </w:r>
      <w:r w:rsidRPr="00D41A72">
        <w:rPr>
          <w:rFonts w:cs="Times New Roman"/>
          <w:szCs w:val="24"/>
          <w:lang w:val="hr-HR"/>
        </w:rPr>
        <w:t xml:space="preserve">pročelnik Jedinstvenog upravnog odjela, odgovorni su za provedbu Odluke o izvršavanju proračuna, za potpunu i pravodobnu naplatu prihoda i primitaka iz svoje nadležnosti te za izvršavanje rashoda i izdataka u okviru nadležnosti za pripadajuće programe, sukladno namjenama, raspoloživim izvorima financiranja i iznosima utvrđenim u Posebnom dijelu Proračuna što podrazumijeva i odgovornost za zakonitost, svrhovitost, učinkovitost i ekonomično raspolaganje proračunskim sredstvima.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lastRenderedPageBreak/>
        <w:tab/>
      </w:r>
      <w:r w:rsidRPr="00D41A72">
        <w:rPr>
          <w:rFonts w:cs="Times New Roman"/>
          <w:szCs w:val="24"/>
          <w:lang w:val="hr-HR"/>
        </w:rPr>
        <w:t>Jedinstveni upravni odjel obavez</w:t>
      </w:r>
      <w:r>
        <w:rPr>
          <w:rFonts w:cs="Times New Roman"/>
          <w:szCs w:val="24"/>
          <w:lang w:val="hr-HR"/>
        </w:rPr>
        <w:t>an je</w:t>
      </w:r>
      <w:r w:rsidRPr="00D41A72">
        <w:rPr>
          <w:rFonts w:cs="Times New Roman"/>
          <w:szCs w:val="24"/>
          <w:lang w:val="hr-HR"/>
        </w:rPr>
        <w:t xml:space="preserve"> provoditi postupke nabave</w:t>
      </w:r>
      <w:r w:rsidR="00BA332A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roba, usluga i ustupanja radova sukladno zakonskim propisima i općinskim aktima.  Plan nabave Općine Negoslavci za </w:t>
      </w:r>
      <w:r w:rsidR="004D528D">
        <w:rPr>
          <w:rFonts w:cs="Times New Roman"/>
          <w:szCs w:val="24"/>
          <w:lang w:val="hr-HR"/>
        </w:rPr>
        <w:t>202</w:t>
      </w:r>
      <w:r w:rsidR="009B3091">
        <w:rPr>
          <w:rFonts w:cs="Times New Roman"/>
          <w:szCs w:val="24"/>
          <w:lang w:val="hr-HR"/>
        </w:rPr>
        <w:t>1</w:t>
      </w:r>
      <w:r w:rsidR="004D528D">
        <w:rPr>
          <w:rFonts w:cs="Times New Roman"/>
          <w:szCs w:val="24"/>
          <w:lang w:val="hr-HR"/>
        </w:rPr>
        <w:t>.</w:t>
      </w:r>
      <w:r w:rsidRPr="00D41A72">
        <w:rPr>
          <w:rFonts w:cs="Times New Roman"/>
          <w:szCs w:val="24"/>
          <w:lang w:val="hr-HR"/>
        </w:rPr>
        <w:t xml:space="preserve"> godinu donosi Općinski načelnik sukladno zakonskim propisima i aktima.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Ako se tijekom izvršavanja Proračuna utvrdi da su proračunska sredstva korištena nenamjenski, neopravdano i/ili nezakonito, zahtijevat će se od korisnika povrat proračunskih sredstava ili će se korisniku umanjiti sredstva u visini nenamjenskog korištenja sredstava, ili će se privremeno obustaviti isplata sredstava na stavkama s kojih su sredstva bila nenamjenski utrošena.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Odluku o umanjenju, obustavi ili povratu proračunskih sredstava iz stavka 1. ovog članka, donosi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</w:rPr>
      </w:pPr>
    </w:p>
    <w:p w:rsidR="00B16283" w:rsidRPr="002F04A9" w:rsidRDefault="00B16283" w:rsidP="00B16283">
      <w:pPr>
        <w:rPr>
          <w:lang w:val="hr-HR"/>
        </w:rPr>
      </w:pPr>
    </w:p>
    <w:p w:rsidR="006601BF" w:rsidRDefault="006601BF"/>
    <w:sectPr w:rsidR="006601BF" w:rsidSect="00A5719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9F" w:rsidRDefault="004B239F" w:rsidP="00B16283">
      <w:r>
        <w:separator/>
      </w:r>
    </w:p>
  </w:endnote>
  <w:endnote w:type="continuationSeparator" w:id="0">
    <w:p w:rsidR="004B239F" w:rsidRDefault="004B239F" w:rsidP="00B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86282"/>
      <w:docPartObj>
        <w:docPartGallery w:val="Page Numbers (Bottom of Page)"/>
        <w:docPartUnique/>
      </w:docPartObj>
    </w:sdtPr>
    <w:sdtEndPr/>
    <w:sdtContent>
      <w:p w:rsidR="00B16283" w:rsidRDefault="00314F85">
        <w:pPr>
          <w:pStyle w:val="Podnoje"/>
          <w:jc w:val="center"/>
        </w:pPr>
        <w:r>
          <w:fldChar w:fldCharType="begin"/>
        </w:r>
        <w:r w:rsidR="00B16283">
          <w:instrText>PAGE   \* MERGEFORMAT</w:instrText>
        </w:r>
        <w:r>
          <w:fldChar w:fldCharType="separate"/>
        </w:r>
        <w:r w:rsidR="00B82F16" w:rsidRPr="00B82F16">
          <w:rPr>
            <w:noProof/>
            <w:lang w:val="hr-HR"/>
          </w:rPr>
          <w:t>1</w:t>
        </w:r>
        <w:r>
          <w:fldChar w:fldCharType="end"/>
        </w:r>
      </w:p>
    </w:sdtContent>
  </w:sdt>
  <w:p w:rsidR="00B16283" w:rsidRDefault="00B16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9F" w:rsidRDefault="004B239F" w:rsidP="00B16283">
      <w:r>
        <w:separator/>
      </w:r>
    </w:p>
  </w:footnote>
  <w:footnote w:type="continuationSeparator" w:id="0">
    <w:p w:rsidR="004B239F" w:rsidRDefault="004B239F" w:rsidP="00B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000"/>
    <w:multiLevelType w:val="hybridMultilevel"/>
    <w:tmpl w:val="A484D7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C34"/>
    <w:multiLevelType w:val="hybridMultilevel"/>
    <w:tmpl w:val="C2F27A20"/>
    <w:lvl w:ilvl="0" w:tplc="4328A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56AB"/>
    <w:multiLevelType w:val="hybridMultilevel"/>
    <w:tmpl w:val="3260F8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3"/>
    <w:rsid w:val="00027156"/>
    <w:rsid w:val="00060B88"/>
    <w:rsid w:val="00066D7B"/>
    <w:rsid w:val="000A7E5C"/>
    <w:rsid w:val="0014104B"/>
    <w:rsid w:val="00177CA6"/>
    <w:rsid w:val="00314F85"/>
    <w:rsid w:val="00371355"/>
    <w:rsid w:val="003F1310"/>
    <w:rsid w:val="004B239F"/>
    <w:rsid w:val="004D1AB1"/>
    <w:rsid w:val="004D528D"/>
    <w:rsid w:val="00622747"/>
    <w:rsid w:val="006601BF"/>
    <w:rsid w:val="00693381"/>
    <w:rsid w:val="00696302"/>
    <w:rsid w:val="00741623"/>
    <w:rsid w:val="007E5301"/>
    <w:rsid w:val="008220A4"/>
    <w:rsid w:val="00873CA9"/>
    <w:rsid w:val="008B3CEE"/>
    <w:rsid w:val="0091131D"/>
    <w:rsid w:val="00934EB6"/>
    <w:rsid w:val="009B3091"/>
    <w:rsid w:val="009E49FB"/>
    <w:rsid w:val="00A4309D"/>
    <w:rsid w:val="00A57194"/>
    <w:rsid w:val="00A601AF"/>
    <w:rsid w:val="00A63F07"/>
    <w:rsid w:val="00AF4A53"/>
    <w:rsid w:val="00AF67D9"/>
    <w:rsid w:val="00B16283"/>
    <w:rsid w:val="00B54225"/>
    <w:rsid w:val="00B82F16"/>
    <w:rsid w:val="00B85BF6"/>
    <w:rsid w:val="00BA332A"/>
    <w:rsid w:val="00BD7D83"/>
    <w:rsid w:val="00C03ADE"/>
    <w:rsid w:val="00CA40CE"/>
    <w:rsid w:val="00CB0415"/>
    <w:rsid w:val="00D20049"/>
    <w:rsid w:val="00E34B04"/>
    <w:rsid w:val="00E7595B"/>
    <w:rsid w:val="00E86642"/>
    <w:rsid w:val="00EE34F9"/>
    <w:rsid w:val="00EE5D2C"/>
    <w:rsid w:val="00F31230"/>
    <w:rsid w:val="00F51265"/>
    <w:rsid w:val="00FC06DC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C57C7-280D-4C69-888C-330B9114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2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628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283"/>
  </w:style>
  <w:style w:type="paragraph" w:styleId="Podnoje">
    <w:name w:val="footer"/>
    <w:basedOn w:val="Normal"/>
    <w:link w:val="Podno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283"/>
  </w:style>
  <w:style w:type="paragraph" w:styleId="Tekstbalonia">
    <w:name w:val="Balloon Text"/>
    <w:basedOn w:val="Normal"/>
    <w:link w:val="TekstbaloniaChar"/>
    <w:uiPriority w:val="99"/>
    <w:semiHidden/>
    <w:unhideWhenUsed/>
    <w:rsid w:val="00BA33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ocuments\PRORA&#268;UN%202020\IZVR&#352;ENJE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Uravnoteženje proračuna 2020.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'OPĆI DIO'!$A$9</c:f>
              <c:strCache>
                <c:ptCount val="1"/>
                <c:pt idx="0">
                  <c:v>PRIHODI UKUPNO</c:v>
                </c:pt>
              </c:strCache>
            </c:strRef>
          </c:tx>
          <c:spPr>
            <a:solidFill>
              <a:schemeClr val="accent4">
                <a:shade val="47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DIO'!$C$9:$T$9</c:f>
              <c:numCache>
                <c:formatCode>General</c:formatCode>
                <c:ptCount val="3"/>
                <c:pt idx="0">
                  <c:v>5706530</c:v>
                </c:pt>
                <c:pt idx="1">
                  <c:v>5403530</c:v>
                </c:pt>
                <c:pt idx="2">
                  <c:v>4351133.5200000005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710-470A-B595-0D241D6DC493}"/>
            </c:ext>
          </c:extLst>
        </c:ser>
        <c:ser>
          <c:idx val="3"/>
          <c:order val="3"/>
          <c:tx>
            <c:strRef>
              <c:f>'OPĆI DIO'!$A$12</c:f>
              <c:strCache>
                <c:ptCount val="1"/>
                <c:pt idx="0">
                  <c:v>RASHODI UKUPNO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DIO'!$C$12:$T$12</c:f>
              <c:numCache>
                <c:formatCode>General</c:formatCode>
                <c:ptCount val="3"/>
                <c:pt idx="0">
                  <c:v>7376000</c:v>
                </c:pt>
                <c:pt idx="1">
                  <c:v>7073000</c:v>
                </c:pt>
                <c:pt idx="2">
                  <c:v>4993034.8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710-470A-B595-0D241D6DC493}"/>
            </c:ext>
          </c:extLst>
        </c:ser>
        <c:ser>
          <c:idx val="6"/>
          <c:order val="6"/>
          <c:tx>
            <c:strRef>
              <c:f>'OPĆI DIO'!$A$15</c:f>
              <c:strCache>
                <c:ptCount val="1"/>
                <c:pt idx="0">
                  <c:v>RAZLIKA - VIŠAK / MANJAK</c:v>
                </c:pt>
              </c:strCache>
            </c:strRef>
          </c:tx>
          <c:spPr>
            <a:solidFill>
              <a:schemeClr val="accent4">
                <a:tint val="48000"/>
              </a:schemeClr>
            </a:solidFill>
            <a:ln>
              <a:noFill/>
            </a:ln>
            <a:effectLst/>
          </c:spPr>
          <c:invertIfNegative val="0"/>
          <c:cat>
            <c:strRef>
              <c:f>'OPĆI DIO'!$C$8:$T$8</c:f>
              <c:strCache>
                <c:ptCount val="3"/>
                <c:pt idx="0">
                  <c:v>2020.</c:v>
                </c:pt>
                <c:pt idx="1">
                  <c:v>III REBALANS 2021.</c:v>
                </c:pt>
                <c:pt idx="2">
                  <c:v>IZVRŠENJE</c:v>
                </c:pt>
              </c:strCache>
              <c:extLst/>
            </c:strRef>
          </c:cat>
          <c:val>
            <c:numRef>
              <c:f>'OPĆI DIO'!$C$15:$T$15</c:f>
              <c:numCache>
                <c:formatCode>#.##000</c:formatCode>
                <c:ptCount val="3"/>
                <c:pt idx="0">
                  <c:v>-1669470</c:v>
                </c:pt>
                <c:pt idx="1">
                  <c:v>-1669470</c:v>
                </c:pt>
                <c:pt idx="2">
                  <c:v>-641901.28000000026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710-470A-B595-0D241D6DC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198848"/>
        <c:axId val="18521292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'OPĆI DIO'!$A$10</c15:sqref>
                        </c15:formulaRef>
                      </c:ext>
                    </c:extLst>
                    <c:strCache>
                      <c:ptCount val="1"/>
                      <c:pt idx="0">
                        <c:v>PRIHODI POSLOVANJA</c:v>
                      </c:pt>
                    </c:strCache>
                  </c:strRef>
                </c:tx>
                <c:spPr>
                  <a:solidFill>
                    <a:schemeClr val="accent4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'OPĆI DIO'!$C$10:$T$10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5706530</c:v>
                      </c:pt>
                      <c:pt idx="1">
                        <c:v>5403530</c:v>
                      </c:pt>
                      <c:pt idx="2">
                        <c:v>4351133.5199999996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710-470A-B595-0D241D6DC493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DIO'!$A$11</c15:sqref>
                        </c15:formulaRef>
                      </c:ext>
                    </c:extLst>
                    <c:strCache>
                      <c:ptCount val="1"/>
                      <c:pt idx="0">
                        <c:v>PRIHODI OD PRODAJE NEFINANCIJSKE IMOVINE</c:v>
                      </c:pt>
                    </c:strCache>
                  </c:strRef>
                </c:tx>
                <c:spPr>
                  <a:solidFill>
                    <a:schemeClr val="accent4">
                      <a:shade val="82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DIO'!$C$11:$T$11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C710-470A-B595-0D241D6DC493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DIO'!$A$13</c15:sqref>
                        </c15:formulaRef>
                      </c:ext>
                    </c:extLst>
                    <c:strCache>
                      <c:ptCount val="1"/>
                      <c:pt idx="0">
                        <c:v>RASHODI  POSLOVANJA</c:v>
                      </c:pt>
                    </c:strCache>
                  </c:strRef>
                </c:tx>
                <c:spPr>
                  <a:solidFill>
                    <a:schemeClr val="accent4">
                      <a:tint val="83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DIO'!$C$13:$T$13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4456000</c:v>
                      </c:pt>
                      <c:pt idx="1">
                        <c:v>5585000</c:v>
                      </c:pt>
                      <c:pt idx="2">
                        <c:v>3538158.73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710-470A-B595-0D241D6DC493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DIO'!$A$14</c15:sqref>
                        </c15:formulaRef>
                      </c:ext>
                    </c:extLst>
                    <c:strCache>
                      <c:ptCount val="1"/>
                      <c:pt idx="0">
                        <c:v>RASHODI ZA NABAVU NEFINANCIJSKE IMOVINE</c:v>
                      </c:pt>
                    </c:strCache>
                  </c:strRef>
                </c:tx>
                <c:spPr>
                  <a:solidFill>
                    <a:schemeClr val="accent4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DIO'!$C$8:$T$8</c15:sqref>
                        </c15:formulaRef>
                      </c:ext>
                    </c:extLst>
                    <c:strCache>
                      <c:ptCount val="3"/>
                      <c:pt idx="0">
                        <c:v>2020.</c:v>
                      </c:pt>
                      <c:pt idx="1">
                        <c:v>III REBALANS 2021.</c:v>
                      </c:pt>
                      <c:pt idx="2">
                        <c:v>IZVRŠENJE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'OPĆI DIO'!$C$14:$T$14</c15:sqref>
                        </c15:formulaRef>
                      </c:ext>
                    </c:extLst>
                    <c:numCache>
                      <c:formatCode>#.##000</c:formatCode>
                      <c:ptCount val="3"/>
                      <c:pt idx="0">
                        <c:v>2920000</c:v>
                      </c:pt>
                      <c:pt idx="1">
                        <c:v>1488000</c:v>
                      </c:pt>
                      <c:pt idx="2">
                        <c:v>1454876.0699999998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710-470A-B595-0D241D6DC493}"/>
                  </c:ext>
                </c:extLst>
              </c15:ser>
            </c15:filteredBarSeries>
          </c:ext>
        </c:extLst>
      </c:barChart>
      <c:catAx>
        <c:axId val="18519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212928"/>
        <c:crosses val="autoZero"/>
        <c:auto val="1"/>
        <c:lblAlgn val="ctr"/>
        <c:lblOffset val="100"/>
        <c:noMultiLvlLbl val="0"/>
      </c:catAx>
      <c:valAx>
        <c:axId val="18521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19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3D62-A5F2-4ECD-B844-B4A17ED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2022-04-01T12:41:00Z</dcterms:created>
  <dcterms:modified xsi:type="dcterms:W3CDTF">2022-04-01T12:41:00Z</dcterms:modified>
</cp:coreProperties>
</file>