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  <w:sz w:val="24"/>
          <w:szCs w:val="24"/>
          <w:lang w:val="hr-HR"/>
        </w:rPr>
        <w:t>PRIJEDLOG PRAVILNIKA</w:t>
      </w:r>
    </w:p>
    <w:p>
      <w:pPr>
        <w:pStyle w:val="Normal"/>
        <w:bidi w:val="0"/>
        <w:jc w:val="left"/>
        <w:rPr>
          <w:sz w:val="24"/>
          <w:szCs w:val="24"/>
          <w:lang w:val="hr-HR"/>
        </w:rPr>
      </w:pPr>
      <w:r>
        <w:rPr/>
      </w:r>
    </w:p>
    <w:p>
      <w:pPr>
        <w:pStyle w:val="Normal"/>
        <w:bidi w:val="0"/>
        <w:jc w:val="left"/>
        <w:rPr>
          <w:sz w:val="24"/>
          <w:szCs w:val="24"/>
          <w:lang w:val="hr-HR"/>
        </w:rPr>
      </w:pPr>
      <w:r>
        <w:rPr/>
      </w:r>
    </w:p>
    <w:p>
      <w:pPr>
        <w:pStyle w:val="Normal"/>
        <w:bidi w:val="0"/>
        <w:jc w:val="left"/>
        <w:rPr/>
      </w:pPr>
      <w:r>
        <w:rPr>
          <w:sz w:val="24"/>
          <w:szCs w:val="24"/>
          <w:lang w:val="hr-HR"/>
        </w:rPr>
        <w:tab/>
        <w:tab/>
      </w:r>
      <w:r>
        <w:rPr/>
        <w:drawing>
          <wp:inline distT="0" distB="0" distL="0" distR="0">
            <wp:extent cx="474345" cy="600075"/>
            <wp:effectExtent l="0" t="0" r="0" b="0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80" t="-540" r="-680" b="-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  <w:t>REPUBLIKA HRVATSKA</w:t>
      </w:r>
    </w:p>
    <w:p>
      <w:pPr>
        <w:pStyle w:val="Normal"/>
        <w:bidi w:val="0"/>
        <w:jc w:val="left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VUKOVARSKO-SRIJEMSKA ŽUPANIJA</w:t>
      </w:r>
    </w:p>
    <w:p>
      <w:pPr>
        <w:pStyle w:val="Normal"/>
        <w:bidi w:val="0"/>
        <w:jc w:val="left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OPĆINA NEGOSLAVCI</w:t>
      </w:r>
    </w:p>
    <w:p>
      <w:pPr>
        <w:pStyle w:val="Normal"/>
        <w:bidi w:val="0"/>
        <w:jc w:val="left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Općinski načelnik</w:t>
      </w:r>
    </w:p>
    <w:p>
      <w:pPr>
        <w:pStyle w:val="Normal"/>
        <w:bidi w:val="0"/>
        <w:jc w:val="left"/>
        <w:rPr/>
      </w:pPr>
      <w:r>
        <w:rPr>
          <w:rFonts w:cs="Calibri"/>
          <w:b/>
          <w:bCs/>
          <w:sz w:val="24"/>
          <w:szCs w:val="24"/>
          <w:lang w:val="hr-HR"/>
        </w:rPr>
        <w:t>KLASA</w:t>
      </w:r>
      <w:r>
        <w:rPr>
          <w:rFonts w:cs="Calibri"/>
          <w:sz w:val="24"/>
          <w:szCs w:val="24"/>
          <w:lang w:val="hr-HR"/>
        </w:rPr>
        <w:t>: 300-01/22-01/01</w:t>
      </w:r>
    </w:p>
    <w:p>
      <w:pPr>
        <w:pStyle w:val="Normal"/>
        <w:bidi w:val="0"/>
        <w:jc w:val="left"/>
        <w:rPr/>
      </w:pPr>
      <w:r>
        <w:rPr>
          <w:rFonts w:cs="Calibri"/>
          <w:b/>
          <w:bCs/>
          <w:sz w:val="24"/>
          <w:szCs w:val="24"/>
          <w:lang w:val="hr-HR"/>
        </w:rPr>
        <w:t>URBROJ</w:t>
      </w:r>
      <w:r>
        <w:rPr>
          <w:rFonts w:cs="Calibri"/>
          <w:sz w:val="24"/>
          <w:szCs w:val="24"/>
          <w:lang w:val="hr-HR"/>
        </w:rPr>
        <w:t>: 2196-19-01-22-01</w:t>
      </w:r>
    </w:p>
    <w:p>
      <w:pPr>
        <w:pStyle w:val="Normal"/>
        <w:bidi w:val="0"/>
        <w:jc w:val="both"/>
        <w:rPr/>
      </w:pPr>
      <w:r>
        <w:rPr>
          <w:rFonts w:cs="Calibri"/>
          <w:b/>
          <w:bCs/>
          <w:sz w:val="24"/>
          <w:szCs w:val="24"/>
          <w:lang w:val="hr-HR"/>
        </w:rPr>
        <w:t>Negoslavci</w:t>
      </w:r>
      <w:r>
        <w:rPr>
          <w:rFonts w:cs="Calibri"/>
          <w:sz w:val="24"/>
          <w:szCs w:val="24"/>
          <w:lang w:val="hr-HR"/>
        </w:rPr>
        <w:t>, 16.12.2022. godine</w:t>
      </w:r>
    </w:p>
    <w:p>
      <w:pPr>
        <w:pStyle w:val="Normal"/>
        <w:bidi w:val="0"/>
        <w:jc w:val="both"/>
        <w:rPr>
          <w:rFonts w:cs="Calibri"/>
          <w:color w:val="000000"/>
          <w:sz w:val="24"/>
          <w:szCs w:val="24"/>
          <w:lang w:val="hr-HR"/>
        </w:rPr>
      </w:pPr>
      <w:r>
        <w:rPr>
          <w:rFonts w:cs="Calibri"/>
          <w:color w:val="000000"/>
          <w:sz w:val="24"/>
          <w:szCs w:val="24"/>
          <w:lang w:val="hr-HR"/>
        </w:rPr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Calibri"/>
          <w:color w:val="000000"/>
          <w:sz w:val="24"/>
          <w:szCs w:val="24"/>
          <w:lang w:val="hr-HR"/>
        </w:rPr>
        <w:t xml:space="preserve">Temeljem članka 10., stavka 1., točke 3. Zakona o poticanju razvoja malog gospodarstva („Narodne novine” broj 29/02, 63/07, 53/12, 56/13 i 121/16), </w:t>
      </w:r>
      <w:bookmarkStart w:id="0" w:name="_Hlk89344897"/>
      <w:r>
        <w:rPr>
          <w:rFonts w:cs="Calibri"/>
          <w:color w:val="000000"/>
          <w:sz w:val="24"/>
          <w:szCs w:val="24"/>
          <w:lang w:val="hr-HR"/>
        </w:rPr>
        <w:t>članka 32., stavka 2., točke 2. Statuta Općine Negoslavci („Službeni glasnik Općine Negoslavci” broj 1/21),</w:t>
      </w:r>
      <w:r>
        <w:rPr>
          <w:rFonts w:cs="Calibri"/>
          <w:sz w:val="24"/>
          <w:szCs w:val="24"/>
          <w:lang w:val="hr-HR"/>
        </w:rPr>
        <w:t xml:space="preserve"> Općinski načelnik dana 16.12.2022. godine donosi</w:t>
      </w:r>
    </w:p>
    <w:p>
      <w:pPr>
        <w:pStyle w:val="Normal"/>
        <w:bidi w:val="0"/>
        <w:ind w:left="0" w:right="0"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  <w:bookmarkEnd w:id="0"/>
    </w:p>
    <w:p>
      <w:pPr>
        <w:pStyle w:val="Normal"/>
        <w:bidi w:val="0"/>
        <w:jc w:val="center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  <w:t>PRAVILNIK</w:t>
      </w:r>
    </w:p>
    <w:p>
      <w:pPr>
        <w:pStyle w:val="Normal"/>
        <w:bidi w:val="0"/>
        <w:jc w:val="center"/>
        <w:rPr/>
      </w:pPr>
      <w:r>
        <w:rPr>
          <w:rFonts w:cs="Calibri"/>
          <w:b/>
          <w:bCs/>
          <w:sz w:val="24"/>
          <w:szCs w:val="24"/>
          <w:lang w:val="hr-HR"/>
        </w:rPr>
        <w:t>o poticanju gospodarskog razvoja Općine Negoslavci za 2</w:t>
      </w:r>
      <w:r>
        <w:rPr>
          <w:rFonts w:cs="Calibri"/>
          <w:b/>
          <w:bCs/>
          <w:color w:val="000000"/>
          <w:sz w:val="24"/>
          <w:szCs w:val="24"/>
          <w:lang w:val="hr-HR"/>
        </w:rPr>
        <w:t>022. godinu</w:t>
      </w:r>
    </w:p>
    <w:p>
      <w:pPr>
        <w:pStyle w:val="Normal"/>
        <w:bidi w:val="0"/>
        <w:jc w:val="center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OPĆE ODREDBE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1.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Ovim Pravilnikom utvrđuju se svrha i ciljevi Pravilnika, korisnici, nositelji potpore, mjere potpora, postupak dodjele sredstava, izvore sredstava, obveze korisnika sredstava i kontrola namjenskog utroška dodijeljenih sredstava te ostale odredbe bitne za provođenje.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Sa svrhom poticanja postojećeg i stimuliranja novog poslovanja, smanjenja broja nezaposlenih i realizacije projekata razvoja malog i srednjeg poduzetništva i obrtništva, Općina Negoslavci, na način i prema uvjetima utvrđenim ovim pravilnikom pomaže malim i srednjim poduzetnicima i obrtnicima u početnim fazama poslovanja, omogućuje povećanje zaposlenosti te stvara pozitivno okruženje za poduzetničku inicijativu.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KORISNICI POTPORE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2.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Korisnici ove potpore su fizičke osobe koje obavljaju registriranu djelatnost – obrti i pravne osobe - trgovačka društva, koja imaju sjedište na području Općine Negoslavci.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eastAsia="Calibri" w:cs="Calibri"/>
          <w:b/>
          <w:bCs/>
          <w:sz w:val="24"/>
          <w:szCs w:val="24"/>
          <w:lang w:val="hr-HR"/>
        </w:rPr>
        <w:t>Prihvatljivi korisnici</w:t>
      </w:r>
      <w:r>
        <w:rPr>
          <w:rFonts w:eastAsia="Calibri" w:cs="Calibri"/>
          <w:sz w:val="24"/>
          <w:szCs w:val="24"/>
          <w:lang w:val="hr-HR"/>
        </w:rPr>
        <w:t xml:space="preserve"> su oni koji ispunjavaju sljedeće uvjete: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da su podmirili sve dospjele obveze prema Općini Negoslavci,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da su podmirili sve dospjele obveze po osnovi javnih davanja o kojima evidenciju vodi Porezna uprava.</w:t>
      </w:r>
    </w:p>
    <w:p>
      <w:pPr>
        <w:pStyle w:val="Normal"/>
        <w:bidi w:val="0"/>
        <w:ind w:left="360" w:right="0" w:hanging="0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val="hr-HR"/>
        </w:rPr>
        <w:t xml:space="preserve">      </w:t>
      </w:r>
      <w:r>
        <w:rPr>
          <w:rFonts w:eastAsia="Calibri" w:cs="Calibri"/>
          <w:b/>
          <w:bCs/>
          <w:sz w:val="24"/>
          <w:szCs w:val="24"/>
          <w:lang w:val="hr-HR"/>
        </w:rPr>
        <w:t>Neprihvatljivi korisnici: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koji su u 2020. godini ostvarili poticaj prema Programu poticanja gospodarskog razvoja Općine Negoslavci 2020. godini,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koji su u 2021./22. godini ostvarili poticaj prema Pravilniku o poticanju gospodarskog razvoja Općine Negoslavci 2021. godini.</w:t>
      </w:r>
    </w:p>
    <w:p>
      <w:pPr>
        <w:pStyle w:val="Normal"/>
        <w:bidi w:val="0"/>
        <w:ind w:left="720" w:right="0"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NOSITELJI POTPORE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3.</w:t>
      </w:r>
    </w:p>
    <w:p>
      <w:pPr>
        <w:pStyle w:val="Normal"/>
        <w:bidi w:val="0"/>
        <w:ind w:left="0" w:right="0" w:firstLine="709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Odluku o provedbi Pravilnika o poticanju gospodarskog razvoja na području Općine Negoslavci u 2022. godini donosi Općinski načelnik.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Za provođenje odredbi ovog Pravilnika zadužuje se Povjerenstvo za provjeru administrativne ispravnosti i provedbu postupka te utvrđivanje prijedloga Odluke o dodjeli potpora i Povjerenstvo za rješavanje prigovora.</w:t>
      </w:r>
    </w:p>
    <w:p>
      <w:pPr>
        <w:pStyle w:val="Normal"/>
        <w:bidi w:val="0"/>
        <w:ind w:left="0" w:right="0" w:firstLine="709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Svako Povjerenstvo čine predsjednik i dva člana koje imenuje Općinski načelnik.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Povjerenstva će sve aktivnosti provoditi sukladno odredbama ovoga Pravilnika.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ab/>
      </w:r>
    </w:p>
    <w:p>
      <w:pPr>
        <w:pStyle w:val="Normal"/>
        <w:numPr>
          <w:ilvl w:val="0"/>
          <w:numId w:val="2"/>
        </w:numPr>
        <w:bidi w:val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MJERE POTPORA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4.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Općina Negoslavci će u 2022. godini dodjeljivati potpore za sljedeće namjene: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Mjera 1. Potpore za zapošljavanje i samozapošljavanje,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Mjera 2. Potpore za osnivanje poduzeća i obrta,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Mjera 3.Potpore za izgradnju/rekonstrukciju/ i opremanje poslovnih objekata ili nabavku opreme za rad/proizvodnju,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 xml:space="preserve">Mjera 4. Potpore za kupovinu teretnih, dostavnih i drugih radnih vozila. 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bidi w:val="0"/>
        <w:jc w:val="left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Mjera 1. Potpore za zapošljavanje i samozapošljavanje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5.</w:t>
      </w:r>
    </w:p>
    <w:p>
      <w:pPr>
        <w:pStyle w:val="Normal"/>
        <w:bidi w:val="0"/>
        <w:jc w:val="both"/>
        <w:rPr/>
      </w:pPr>
      <w:r>
        <w:rPr>
          <w:rFonts w:cs="Calibri"/>
          <w:sz w:val="24"/>
          <w:szCs w:val="24"/>
          <w:lang w:val="hr-HR"/>
        </w:rPr>
        <w:tab/>
        <w:t xml:space="preserve">Potpora </w:t>
      </w:r>
      <w:r>
        <w:rPr>
          <w:rFonts w:cs="Calibri"/>
          <w:bCs/>
          <w:sz w:val="24"/>
          <w:szCs w:val="24"/>
          <w:lang w:val="hr-HR"/>
        </w:rPr>
        <w:t>za zapošljavanje i samozapošljavanje</w:t>
      </w:r>
      <w:r>
        <w:rPr>
          <w:rFonts w:cs="Calibri"/>
          <w:sz w:val="24"/>
          <w:szCs w:val="24"/>
          <w:lang w:val="hr-HR"/>
        </w:rPr>
        <w:t>, odnosno plaćanje obveznih doprinosa i dijela neto dohotka u iznosu od 2.050,00 KN, odnosno 272,00 EUR (</w:t>
      </w:r>
      <w:r>
        <w:rPr>
          <w:rFonts w:cs="Times New Roman"/>
          <w:sz w:val="24"/>
          <w:szCs w:val="24"/>
          <w:lang w:val="hr-HR"/>
        </w:rPr>
        <w:t>po fiksnom tečaju konverzije 1,00 EUR = 7,53450 HRK)</w:t>
      </w:r>
      <w:r>
        <w:rPr>
          <w:rFonts w:cs="Calibri"/>
          <w:sz w:val="24"/>
          <w:szCs w:val="24"/>
          <w:lang w:val="hr-HR"/>
        </w:rPr>
        <w:t xml:space="preserve"> na mjesečnoj razini od 24.600,00 KN, (dvadesetčetiritisućešestokuna), odnosno 3.264,00 EUR (tritisućedvjestošezdesetčetirieura) godišnje koja se isplaćuje u jednokratnom iznosu, ostvaruje se za: 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zapošljavanje nezaposlene osobe,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samozapošljavanje.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 xml:space="preserve">Korisnik ne smije smanjivati ukupan broj zaposlenih u razdoblju od 2 godine. 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 xml:space="preserve">Korisnik sa osobom za koju traži potporu mora u pravilu imati sklopljen Ugovor o radu na neodređeno vrijeme. Ukoliko je Ugovor o radu sklopljen na određeno vrijeme onda mora biti zaključen na rok od najmanje 24 mjeseca. 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Za ostvarivanje prava na potporu, uz zahtjev za potporu, korisnik mora priložiti:</w:t>
      </w:r>
    </w:p>
    <w:p>
      <w:pPr>
        <w:pStyle w:val="Normal"/>
        <w:numPr>
          <w:ilvl w:val="0"/>
          <w:numId w:val="6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 osobne iskaznice osobe za koju se traži potpora,</w:t>
      </w:r>
    </w:p>
    <w:p>
      <w:pPr>
        <w:pStyle w:val="Normal"/>
        <w:numPr>
          <w:ilvl w:val="0"/>
          <w:numId w:val="6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 Ugovora o radu/ Rješenje o upisu u nadležni registar,</w:t>
      </w:r>
    </w:p>
    <w:p>
      <w:pPr>
        <w:pStyle w:val="Normal"/>
        <w:numPr>
          <w:ilvl w:val="0"/>
          <w:numId w:val="6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 prijave u mirovinsko osiguranje,</w:t>
      </w:r>
    </w:p>
    <w:p>
      <w:pPr>
        <w:pStyle w:val="Normal"/>
        <w:numPr>
          <w:ilvl w:val="0"/>
          <w:numId w:val="6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Izjavu o broju zaposlenih na dan podnošenja Zahtjeva.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bidi w:val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Mjera 2. Potpore za osnivanje trgovačkog društva i obrta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6.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 xml:space="preserve">Potporu u iznosu od 3.013,77 KN (tritisućeitrinaestkunaisedamdesetsedamlipa), 400,00 EUR (četiristotineeura) jednokratno, ostvaruje se za osnivanje trgovačkog društva ili otvaranje obrta sa upisom dana početka obavljanja djelatnosti.  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Trgovačko društvo ili obrt mora biti aktivno najmanje 2 godine od dana ostvarivanja potpore.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Za ostvarivanje prava na potporu, uz zahtjev za potporu, korisnik mora priložiti Izvod iz  odgovarajućeg registra.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rFonts w:cs="Calibri"/>
          <w:b/>
          <w:sz w:val="24"/>
          <w:szCs w:val="24"/>
          <w:lang w:val="hr-HR"/>
        </w:rPr>
        <w:t xml:space="preserve">Mjera 3. </w:t>
      </w:r>
      <w:r>
        <w:rPr>
          <w:rFonts w:eastAsia="Calibri" w:cs="Calibri"/>
          <w:b/>
          <w:sz w:val="24"/>
          <w:szCs w:val="24"/>
          <w:lang w:val="hr-HR"/>
        </w:rPr>
        <w:t xml:space="preserve"> Potpore za izgradnju, rekonstrukciju i opremanje poslovnih objekata</w:t>
      </w:r>
    </w:p>
    <w:p>
      <w:pPr>
        <w:pStyle w:val="Normal"/>
        <w:bidi w:val="0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7.</w:t>
      </w:r>
    </w:p>
    <w:p>
      <w:pPr>
        <w:pStyle w:val="Normal"/>
        <w:bidi w:val="0"/>
        <w:jc w:val="both"/>
        <w:rPr/>
      </w:pPr>
      <w:r>
        <w:rPr>
          <w:rFonts w:eastAsia="Calibri" w:cs="Calibri"/>
          <w:sz w:val="24"/>
          <w:szCs w:val="24"/>
          <w:lang w:val="hr-HR"/>
        </w:rPr>
        <w:tab/>
      </w:r>
      <w:r>
        <w:rPr>
          <w:rFonts w:cs="Calibri"/>
          <w:sz w:val="24"/>
          <w:szCs w:val="24"/>
          <w:lang w:val="hr-HR"/>
        </w:rPr>
        <w:t xml:space="preserve">Potpora u iznosu od najviše 15.069,00 KN (petnaesttisućašezdesetdevetkuna), odnosno 2000,00 EUR (dvijetisućeeura) ostvaruje se za izgradnju, rekonstrukciju odnosno opremanje objekata namijenjenih za obavljanje gospodarske djelatnosti, </w:t>
      </w:r>
    </w:p>
    <w:p>
      <w:pPr>
        <w:pStyle w:val="Normal"/>
        <w:bidi w:val="0"/>
        <w:jc w:val="both"/>
        <w:rPr/>
      </w:pPr>
      <w:r>
        <w:rPr>
          <w:rFonts w:cs="Calibri"/>
          <w:sz w:val="24"/>
          <w:szCs w:val="24"/>
          <w:lang w:val="hr-HR"/>
        </w:rPr>
        <w:tab/>
      </w:r>
      <w:r>
        <w:rPr>
          <w:rFonts w:eastAsia="Calibri" w:cs="Calibri"/>
          <w:sz w:val="24"/>
          <w:szCs w:val="24"/>
          <w:lang w:val="hr-HR"/>
        </w:rPr>
        <w:t>Za ostvarivanje prava na potporu, uz zahtjev korisnik mora priložiti:</w:t>
      </w:r>
    </w:p>
    <w:p>
      <w:pPr>
        <w:pStyle w:val="Normal"/>
        <w:numPr>
          <w:ilvl w:val="0"/>
          <w:numId w:val="7"/>
        </w:numPr>
        <w:bidi w:val="0"/>
        <w:jc w:val="both"/>
        <w:rPr/>
      </w:pPr>
      <w:r>
        <w:rPr>
          <w:rFonts w:eastAsia="Calibri" w:cs="Calibri"/>
          <w:sz w:val="24"/>
          <w:szCs w:val="24"/>
          <w:lang w:val="hr-HR"/>
        </w:rPr>
        <w:t xml:space="preserve">preslike ponuda ili </w:t>
      </w:r>
      <w:r>
        <w:rPr>
          <w:rFonts w:cs="Calibri"/>
          <w:sz w:val="24"/>
          <w:szCs w:val="24"/>
          <w:lang w:val="hr-HR"/>
        </w:rPr>
        <w:t>preslike računa za izvršene radove, nabavljenu opremu, izvršenu instalaciju opreme,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preslike dokaza o izvršenom plaćanju (izvadak o stanju transakcijskog računa na dan izvršenog plaćanja),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dokaz o vlasništvu odnosno korištenju poslovnih objekata i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fotografije izvršene investicije.</w:t>
      </w:r>
    </w:p>
    <w:p>
      <w:pPr>
        <w:pStyle w:val="Normal"/>
        <w:bidi w:val="0"/>
        <w:ind w:left="1068" w:right="0"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bidi w:val="0"/>
        <w:ind w:left="1068" w:right="0"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rFonts w:cs="Calibri"/>
          <w:b/>
          <w:sz w:val="24"/>
          <w:szCs w:val="24"/>
          <w:lang w:val="hr-HR"/>
        </w:rPr>
        <w:t>Mjera 4.</w:t>
      </w:r>
      <w:r>
        <w:rPr>
          <w:rFonts w:cs="Calibri"/>
          <w:sz w:val="24"/>
          <w:szCs w:val="24"/>
          <w:lang w:val="hr-HR"/>
        </w:rPr>
        <w:t xml:space="preserve"> </w:t>
      </w:r>
      <w:r>
        <w:rPr>
          <w:rFonts w:cs="Calibri"/>
          <w:b/>
          <w:bCs/>
          <w:sz w:val="24"/>
          <w:szCs w:val="24"/>
          <w:lang w:val="hr-HR"/>
        </w:rPr>
        <w:t>Potpore za kupovinu teretnih, dostavnih, radnih vozila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bookmarkStart w:id="1" w:name="_Hlk52896461"/>
      <w:bookmarkEnd w:id="1"/>
      <w:r>
        <w:rPr>
          <w:rFonts w:cs="Calibri"/>
          <w:b/>
          <w:sz w:val="24"/>
          <w:szCs w:val="24"/>
          <w:lang w:val="hr-HR"/>
        </w:rPr>
        <w:t>Članak 8.</w:t>
      </w:r>
    </w:p>
    <w:p>
      <w:pPr>
        <w:pStyle w:val="Normal"/>
        <w:bidi w:val="0"/>
        <w:jc w:val="both"/>
        <w:rPr/>
      </w:pPr>
      <w:bookmarkStart w:id="2" w:name="_Hlk528964611"/>
      <w:bookmarkEnd w:id="2"/>
      <w:r>
        <w:rPr>
          <w:rFonts w:cs="Calibri"/>
          <w:bCs/>
          <w:sz w:val="24"/>
          <w:szCs w:val="24"/>
          <w:lang w:val="hr-HR"/>
        </w:rPr>
        <w:tab/>
        <w:t xml:space="preserve">Potpora u iznosu od najviše </w:t>
      </w:r>
      <w:bookmarkStart w:id="3" w:name="_Hlk122076365"/>
      <w:r>
        <w:rPr>
          <w:rFonts w:cs="Calibri"/>
          <w:bCs/>
          <w:sz w:val="24"/>
          <w:szCs w:val="24"/>
          <w:lang w:val="hr-HR"/>
        </w:rPr>
        <w:t xml:space="preserve">24.864,00 KN (dvadesetčetiritisućeosamstošezdesetčetirikune), odnosno 3300,00 EU (tritisućetristoeura) </w:t>
      </w:r>
      <w:bookmarkEnd w:id="3"/>
      <w:r>
        <w:rPr>
          <w:rFonts w:cs="Calibri"/>
          <w:bCs/>
          <w:sz w:val="24"/>
          <w:szCs w:val="24"/>
          <w:lang w:val="hr-HR"/>
        </w:rPr>
        <w:t xml:space="preserve">ostvaruje se za kupovinu teretnih, dostavnih i drugih radnih vozila namijenjenih isključivo za obavljanje registrirane poslovne djelatnosti. </w:t>
      </w:r>
    </w:p>
    <w:p>
      <w:pPr>
        <w:pStyle w:val="Normal"/>
        <w:bidi w:val="0"/>
        <w:ind w:left="0" w:right="0" w:firstLine="709"/>
        <w:jc w:val="left"/>
        <w:rPr>
          <w:rFonts w:cs="Calibri"/>
          <w:bCs/>
          <w:sz w:val="24"/>
          <w:szCs w:val="24"/>
          <w:lang w:val="hr-HR"/>
        </w:rPr>
      </w:pPr>
      <w:r>
        <w:rPr>
          <w:rFonts w:cs="Calibri"/>
          <w:bCs/>
          <w:sz w:val="24"/>
          <w:szCs w:val="24"/>
          <w:lang w:val="hr-HR"/>
        </w:rPr>
        <w:t>Za ostvarivanje prava na potporu, uz Zahtjev korisnik mora priložiti :</w:t>
      </w:r>
    </w:p>
    <w:p>
      <w:pPr>
        <w:pStyle w:val="Normal"/>
        <w:bidi w:val="0"/>
        <w:ind w:left="0" w:right="0" w:firstLine="709"/>
        <w:jc w:val="left"/>
        <w:rPr>
          <w:rFonts w:cs="Calibri"/>
          <w:bCs/>
          <w:sz w:val="24"/>
          <w:szCs w:val="24"/>
          <w:lang w:val="hr-HR"/>
        </w:rPr>
      </w:pPr>
      <w:r>
        <w:rPr>
          <w:rFonts w:cs="Calibri"/>
          <w:bCs/>
          <w:sz w:val="24"/>
          <w:szCs w:val="24"/>
          <w:lang w:val="hr-HR"/>
        </w:rPr>
        <w:t>- preslik Rješenja o upisu djelatnosti u nadležni registar i</w:t>
      </w:r>
    </w:p>
    <w:p>
      <w:pPr>
        <w:pStyle w:val="Normal"/>
        <w:bidi w:val="0"/>
        <w:ind w:left="0" w:right="0" w:firstLine="709"/>
        <w:jc w:val="left"/>
        <w:rPr/>
      </w:pPr>
      <w:r>
        <w:rPr>
          <w:rFonts w:cs="Calibri"/>
          <w:bCs/>
          <w:sz w:val="24"/>
          <w:szCs w:val="24"/>
          <w:lang w:val="hr-HR"/>
        </w:rPr>
        <w:t>- presliku računa ili ugovor o kupoprodaji vozila</w:t>
      </w:r>
      <w:r>
        <w:rPr>
          <w:rFonts w:eastAsia="Calibri" w:cs="Calibri"/>
          <w:bCs/>
          <w:sz w:val="24"/>
          <w:szCs w:val="24"/>
          <w:lang w:val="hr-HR"/>
        </w:rPr>
        <w:t>/ presliku ponude za nabavku vozila</w:t>
      </w:r>
    </w:p>
    <w:p>
      <w:pPr>
        <w:pStyle w:val="Normal"/>
        <w:bidi w:val="0"/>
        <w:ind w:left="0" w:right="0" w:firstLine="709"/>
        <w:jc w:val="left"/>
        <w:rPr>
          <w:rFonts w:eastAsia="Calibri" w:cs="Calibri"/>
          <w:bCs/>
          <w:sz w:val="24"/>
          <w:szCs w:val="24"/>
          <w:lang w:val="hr-HR"/>
        </w:rPr>
      </w:pPr>
      <w:r>
        <w:rPr>
          <w:rFonts w:eastAsia="Calibri" w:cs="Calibri"/>
          <w:bCs/>
          <w:sz w:val="24"/>
          <w:szCs w:val="24"/>
          <w:lang w:val="hr-HR"/>
        </w:rPr>
        <w:t>- dokaz o izvršenom plaćanju,</w:t>
      </w:r>
    </w:p>
    <w:p>
      <w:pPr>
        <w:pStyle w:val="Normal"/>
        <w:bidi w:val="0"/>
        <w:ind w:left="0" w:right="0" w:firstLine="709"/>
        <w:jc w:val="left"/>
        <w:rPr>
          <w:rFonts w:eastAsia="Calibri" w:cs="Calibri"/>
          <w:bCs/>
          <w:sz w:val="24"/>
          <w:szCs w:val="24"/>
          <w:lang w:val="hr-HR"/>
        </w:rPr>
      </w:pPr>
      <w:r>
        <w:rPr>
          <w:rFonts w:eastAsia="Calibri" w:cs="Calibri"/>
          <w:bCs/>
          <w:sz w:val="24"/>
          <w:szCs w:val="24"/>
          <w:lang w:val="hr-HR"/>
        </w:rPr>
        <w:t>- presliku prometne dozvole koja glasi na podnositelja zahtjeva.</w:t>
      </w:r>
    </w:p>
    <w:p>
      <w:pPr>
        <w:pStyle w:val="Normal"/>
        <w:bidi w:val="0"/>
        <w:jc w:val="both"/>
        <w:rPr>
          <w:rFonts w:cs="Calibri"/>
          <w:bCs/>
          <w:sz w:val="24"/>
          <w:szCs w:val="24"/>
          <w:lang w:val="hr-HR"/>
        </w:rPr>
      </w:pPr>
      <w:r>
        <w:rPr>
          <w:rFonts w:cs="Calibri"/>
          <w:bCs/>
          <w:sz w:val="24"/>
          <w:szCs w:val="24"/>
          <w:lang w:val="hr-HR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POTREBNA DOKUMENTACIJA I POSTUPAK DODJELE POTPORE</w:t>
      </w:r>
    </w:p>
    <w:p>
      <w:pPr>
        <w:pStyle w:val="Normal"/>
        <w:bidi w:val="0"/>
        <w:ind w:left="3916" w:right="0" w:firstLine="338"/>
        <w:jc w:val="left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9.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 xml:space="preserve">Potpore se dodjeljuju na temelju podnesenog zahtjeva uz sljedeću priloženu dokumentaciju 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Popunjeni obrazac Zahtjeva za potporu,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Presliku osobne iskaznice - za fizičke osobe,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Presliku dokaza o upisu u odgovarajući registar - za trgovačka društva i obrte,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Potvrdu Porezne uprave o podmirenim obvezama s osnove javnih davanja,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Presliku kartice žiro računa,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Druge dokumente propisane za određene mjere potpore.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Za provedbu ovog Pravilnika raspisat će se Javni poziv..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 xml:space="preserve">Javni poziv raspisuje Općinski načelnik. 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eastAsia="Calibri" w:cs="Calibri"/>
          <w:sz w:val="24"/>
          <w:szCs w:val="24"/>
          <w:lang w:val="hr-HR"/>
        </w:rPr>
        <w:t xml:space="preserve">Zahtjevi za mjere potpore objavljuju se na Internet stranici Općine Negoslavci </w:t>
      </w:r>
      <w:hyperlink r:id="rId3">
        <w:r>
          <w:rPr>
            <w:rStyle w:val="Internetskapoveznica"/>
            <w:rFonts w:eastAsia="Calibri" w:cs="Calibri"/>
            <w:color w:val="0563C1"/>
            <w:sz w:val="24"/>
            <w:szCs w:val="24"/>
            <w:lang w:val="hr-HR"/>
          </w:rPr>
          <w:t>www.opcina-negoslavci.hr</w:t>
        </w:r>
      </w:hyperlink>
      <w:r>
        <w:rPr>
          <w:rFonts w:eastAsia="Calibri" w:cs="Calibri"/>
          <w:sz w:val="24"/>
          <w:szCs w:val="24"/>
          <w:lang w:val="hr-HR"/>
        </w:rPr>
        <w:t xml:space="preserve"> a mogu se preuzeti i u Jedinstvenom upravnom odjelu Općine Negoslavci.</w:t>
      </w:r>
    </w:p>
    <w:p>
      <w:pPr>
        <w:pStyle w:val="Normal"/>
        <w:bidi w:val="0"/>
        <w:ind w:left="0" w:right="0" w:firstLine="708"/>
        <w:jc w:val="both"/>
        <w:rPr/>
      </w:pPr>
      <w:r>
        <w:rPr>
          <w:color w:val="000000"/>
          <w:sz w:val="24"/>
          <w:szCs w:val="24"/>
        </w:rPr>
        <w:t xml:space="preserve">Javni poziv bit će otvoren </w:t>
      </w:r>
      <w:r>
        <w:rPr>
          <w:color w:val="000000"/>
          <w:sz w:val="24"/>
          <w:szCs w:val="24"/>
          <w:lang w:val="hr-HR"/>
        </w:rPr>
        <w:t>15 dana od dana objave na internet stranici Općini Negoslavci.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Nepotpune i nepravovremene prijave neće se razmatrati.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Ukoliko dvije ili više prijava imaju isti broj utvrđenih bodova, prednost za ostvarivanje prava ove Mjere ima korisnik potpore koji je prije predao dokumentaciju.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 xml:space="preserve">U slučaju eventualne potrebe, Povjerenstvo za provjeru administrativne ispravnosti i provedbu postupka te utvrđivanja prijedloga Odluke o dodjeli potpora će tražiti nadopunu dokumentacije koju je prijavitelj dužan dostaviti u roku od 5 radnih dana od dana primitka Zahtjeva za nadopunu. Ukoliko prijavitelj ne dostavi traženu dokumentaciju u navedenom roku, njegova se prijava neće razmatrati. 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 xml:space="preserve">Povjerenstvo za provjeru administrativne ispravnosti i provedbu postupka te utvrđivanja  prijedloga Odluke nakon provedenog i okončanog postupka, prijedlog Odluke o dodjeli sredstava potpore dostavlja Općinskom načelniku  na verificiranje. 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U postupku utvrđivanja prijedloga Odluke na sjednici se razmatra Zapisnik o javnom otvaranju zahtjeva, koji potpisuju svi članovi Povjerenstva.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Prijedlog Odluke potpisuje Predsjednik Povjerenstva za provjeru administrativne ispravnosti i provedbu postupka te utvrđivanje prijedloga Odluke o dodjeli potpora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</w:r>
    </w:p>
    <w:p>
      <w:pPr>
        <w:pStyle w:val="Normal"/>
        <w:bidi w:val="0"/>
        <w:jc w:val="center"/>
        <w:rPr>
          <w:rFonts w:eastAsia="Calibri" w:cs="Calibri"/>
          <w:b/>
          <w:b/>
          <w:bCs/>
          <w:sz w:val="24"/>
          <w:szCs w:val="24"/>
          <w:lang w:val="hr-HR"/>
        </w:rPr>
      </w:pPr>
      <w:r>
        <w:rPr>
          <w:rFonts w:eastAsia="Calibri" w:cs="Calibri"/>
          <w:b/>
          <w:bCs/>
          <w:sz w:val="24"/>
          <w:szCs w:val="24"/>
          <w:lang w:val="hr-HR"/>
        </w:rPr>
        <w:t>Članak 10.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Odluku o dodjeli potpore donosi Općinski načelnik na prijedlog Povjerenstva za provjeru administrativne ispravnosti i provedbu postupka te utvrđivanja prijedloga Odluke o dodjeli potpora.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Odluka se objavljuje na Internet stranici Općine Negoslavci najkasnije u roku od 15 dana od dana njezinog donošenja.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Prijavitelji koji nisu ostvarili pravo na dodjelu potpore mogu u roku od 5 dana od dana primitka pisane Obavijesti o tome podnijeti prigovor Povjerenstvu za rješavanje prigovora, koji u roku od 8 dana odlučuje o istome.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 xml:space="preserve">Po konačnosti Odluke o dodjeli potpore Općinski načelnik i korisnik sredstava zaključuju Ugovor o dodjeli potpore kojim se pobliže određuju prava i obveze obiju ugovornih strana. Potpore se po zaključenju Ugovora isplaćuju na žiro račun korisnika. 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Korisnik potpore ne smije otuđiti predmet potpore niti mu promijeniti namjenu te ga je dužan održavati u svrsi i funkciji najmanje 2 godine od datuma isplate potpore.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11.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Korisnik je obvezan dodijeljena sredstva koristiti isključivo za realizaciju mjere za koju su sredstva dodijeljena.</w:t>
      </w:r>
    </w:p>
    <w:p>
      <w:pPr>
        <w:pStyle w:val="Normal"/>
        <w:bidi w:val="0"/>
        <w:ind w:left="0" w:right="0"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 xml:space="preserve">Korisnik potpore dužan je omogućiti davatelju potpore kontrolu namjenskog utroška dobivenih sredstava. </w:t>
      </w:r>
    </w:p>
    <w:p>
      <w:pPr>
        <w:pStyle w:val="Normal"/>
        <w:bidi w:val="0"/>
        <w:ind w:left="0" w:right="0"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 xml:space="preserve">Stručnu i administrativnu kontrolu dodjele potpora provodi Jedinstveni upravni odjel Općine Negoslavci. </w:t>
      </w:r>
    </w:p>
    <w:p>
      <w:pPr>
        <w:pStyle w:val="Normal"/>
        <w:bidi w:val="0"/>
        <w:ind w:left="0" w:right="0"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Ukoliko je korisnik potpore priložio neistinitu dokumentaciju ili prijavljeno stanje ne odgovara stvarnom stanju, korisnik dobivena sredstva mora vratiti u proračun Općine Negoslavci, te će biti isključen iz svih potpora Općine Negoslavci u narednih pet (5) godina.</w:t>
      </w:r>
    </w:p>
    <w:p>
      <w:pPr>
        <w:pStyle w:val="Normal"/>
        <w:bidi w:val="0"/>
        <w:ind w:left="0" w:right="0" w:firstLine="708"/>
        <w:jc w:val="both"/>
        <w:rPr/>
      </w:pPr>
      <w:r>
        <w:rPr>
          <w:sz w:val="24"/>
          <w:szCs w:val="24"/>
        </w:rPr>
        <w:t xml:space="preserve">Kao jamstvo za uredno ispunjenje odredbi iz Pravilnika korisnik potpore je prije zaključivanja Ugovora o dodjeli potpore obvezan </w:t>
      </w:r>
      <w:r>
        <w:rPr>
          <w:sz w:val="24"/>
          <w:szCs w:val="24"/>
          <w:lang w:val="hr-HR"/>
        </w:rPr>
        <w:t>Jedinstvenom upravnom odjelu Općine Negoslavci</w:t>
      </w:r>
      <w:r>
        <w:rPr>
          <w:sz w:val="24"/>
          <w:szCs w:val="24"/>
        </w:rPr>
        <w:t xml:space="preserve"> dostaviti solemniziranu bjanko zadužnicu na iznos odobrene potpore.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Korisniku potpore koji je dostavio bjanko zadužnicu kao instrument osiguranja neiskorištena bjanko zadužnica se vraća po proteku 5 godina od dana realiziranja subvencije.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ZAVRŠNE ODREDBE</w:t>
      </w:r>
    </w:p>
    <w:p>
      <w:pPr>
        <w:pStyle w:val="Normal"/>
        <w:bidi w:val="0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12.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Calibri"/>
          <w:iCs/>
          <w:sz w:val="24"/>
          <w:szCs w:val="24"/>
          <w:lang w:val="hr-HR"/>
        </w:rPr>
        <w:t xml:space="preserve">Najviši ukupni iznos potpore iz proračuna Općine Negoslavci za tekuću godinu, kojeg korisnik potpore može ostvariti po svim osnovama ovog Pravilnika je </w:t>
      </w:r>
      <w:r>
        <w:rPr>
          <w:rFonts w:cs="Calibri"/>
          <w:bCs/>
          <w:sz w:val="24"/>
          <w:szCs w:val="24"/>
          <w:lang w:val="hr-HR"/>
        </w:rPr>
        <w:t xml:space="preserve">24.864,00 KN (dvadesetčetiritisućeosamstošezdesetčetirikune), odnosno 3300,00 EUR (tritisućetristoeura) </w:t>
      </w:r>
      <w:r>
        <w:rPr>
          <w:rFonts w:cs="Calibri"/>
          <w:sz w:val="24"/>
          <w:szCs w:val="24"/>
          <w:lang w:val="hr-HR"/>
        </w:rPr>
        <w:t>Općinski poticaj za isti trošak ili istu jedinicu proizvodnje se može ostvariti samo jednom, a isplaćuje se jednokratno.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13.</w:t>
      </w:r>
    </w:p>
    <w:p>
      <w:pPr>
        <w:pStyle w:val="Normal"/>
        <w:bidi w:val="0"/>
        <w:jc w:val="both"/>
        <w:rPr/>
      </w:pPr>
      <w:r>
        <w:rPr>
          <w:rFonts w:eastAsia="Calibri" w:cs="Calibri"/>
          <w:sz w:val="24"/>
          <w:szCs w:val="24"/>
          <w:lang w:val="hr-HR"/>
        </w:rPr>
        <w:tab/>
      </w:r>
      <w:r>
        <w:rPr>
          <w:rFonts w:eastAsia="Calibri"/>
          <w:sz w:val="24"/>
          <w:szCs w:val="24"/>
          <w:lang w:val="hr-HR"/>
        </w:rPr>
        <w:t>Financijska sredstva za provedbu ovog Pravilnika planirana su u proračunu Općine Negoslavci za 2022. godinu u iznosu od 150.000,00 KN, odnosno 19.908.42 EUR.</w:t>
      </w:r>
    </w:p>
    <w:p>
      <w:pPr>
        <w:pStyle w:val="Normal"/>
        <w:bidi w:val="0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14.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Ovaj Pravilnik stupa na snagu slijedećeg dana od dana objave u Službenom glasniku Općine Negoslavci.</w:t>
      </w:r>
    </w:p>
    <w:p>
      <w:pPr>
        <w:pStyle w:val="Normal"/>
        <w:bidi w:val="0"/>
        <w:jc w:val="right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</w:r>
    </w:p>
    <w:p>
      <w:pPr>
        <w:pStyle w:val="Normal"/>
        <w:bidi w:val="0"/>
        <w:jc w:val="right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OPĆINSKI NAČELNIK</w:t>
      </w:r>
    </w:p>
    <w:p>
      <w:pPr>
        <w:pStyle w:val="Normal"/>
        <w:bidi w:val="0"/>
        <w:jc w:val="right"/>
        <w:rPr>
          <w:rFonts w:eastAsia="Calibri" w:cs="Calibri"/>
          <w:bCs/>
          <w:sz w:val="24"/>
          <w:szCs w:val="24"/>
          <w:lang w:val="hr-HR"/>
        </w:rPr>
      </w:pPr>
      <w:r>
        <w:rPr>
          <w:rFonts w:eastAsia="Calibri" w:cs="Calibri"/>
          <w:bCs/>
          <w:sz w:val="24"/>
          <w:szCs w:val="24"/>
          <w:lang w:val="hr-HR"/>
        </w:rPr>
        <w:t>Dušan Jeckov</w:t>
      </w:r>
    </w:p>
    <w:p>
      <w:pPr>
        <w:pStyle w:val="Normal"/>
        <w:bidi w:val="0"/>
        <w:jc w:val="right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</w:t>
      </w:r>
    </w:p>
    <w:p>
      <w:pPr>
        <w:pStyle w:val="Normal"/>
        <w:bidi w:val="0"/>
        <w:jc w:val="left"/>
        <w:rPr>
          <w:sz w:val="24"/>
          <w:szCs w:val="24"/>
          <w:lang w:val="hr-HR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szCs w:val="22"/>
        <w:rFonts w:ascii="Times New Roman" w:hAnsi="Times New Roman" w:eastAsia="Times New Roman" w:cs="Times New Roman"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kern w:val="2"/>
        <w:szCs w:val="22"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8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sz w:val="22"/>
        <w:szCs w:val="22"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Hyperlink"/>
    <w:rPr>
      <w:color w:val="000080"/>
      <w:u w:val="single"/>
      <w:lang w:val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opcina-zakanje.h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LibreOffice/7.4.1.2$Windows_X86_64 LibreOffice_project/3c58a8f3a960df8bc8fd77b461821e42c061c5f0</Application>
  <AppVersion>15.0000</AppVersion>
  <Pages>4</Pages>
  <Words>1445</Words>
  <Characters>9162</Characters>
  <CharactersWithSpaces>10524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2022-12-19T14:26:52Z</dcterms:created>
  <dc:creator/>
  <dc:description/>
  <dc:language>hr-HR</dc:language>
  <cp:lastModifiedBy/>
  <dcterms:modified xsi:type="dcterms:W3CDTF">2022-12-19T14:27:49Z</dcterms:modified>
  <cp:revision>1</cp:revision>
  <dc:subject/>
  <dc:title/>
</cp:coreProperties>
</file>