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/>
        <w:drawing>
          <wp:inline distT="0" distB="0" distL="0" distR="0">
            <wp:extent cx="2255520" cy="2737485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ISSN: 2757-3435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SLUŽBENI GLASNIK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OPĆINE NEGOSLAVCI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Broj 14. God. III Negoslavci, 19.12.2022. godine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Izlazi prema potrebi</w:t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„</w:t>
      </w:r>
      <w:r>
        <w:rPr>
          <w:rFonts w:eastAsia="Times New Roman" w:cs="Times New Roman"/>
          <w:b/>
          <w:bCs/>
          <w:szCs w:val="24"/>
          <w:lang w:val="hr-HR" w:eastAsia="hr-HR"/>
        </w:rPr>
        <w:t>SLUŽBENI GLASNIK OPĆINE NEGOSLAVCI“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Nakladnik – Općina Negoslavci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Uredništvo: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načelnik: Dušan Jeckov – glavni i odgovorni urednik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Pročelnica Jedinstvenog upravnog odjela: Marina Stojnović</w:t>
      </w:r>
    </w:p>
    <w:p>
      <w:pPr>
        <w:pStyle w:val="Normal"/>
        <w:bidi w:val="0"/>
        <w:spacing w:beforeAutospacing="1" w:afterAutospacing="1"/>
        <w:ind w:left="720" w:hanging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Negoslavci, Vukovarska 7, 32 239 Negoslavci, Republika Hrvatska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Telefon: 032/517-054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Fax: 032/517-054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e-mail: </w:t>
      </w:r>
      <w:hyperlink r:id="rId3">
        <w:r>
          <w:rPr>
            <w:rFonts w:eastAsia="Times New Roman" w:cs="Times New Roman"/>
            <w:color w:val="0000FF"/>
            <w:szCs w:val="24"/>
            <w:u w:val="single"/>
            <w:lang w:val="hr-HR" w:eastAsia="hr-HR"/>
          </w:rPr>
          <w:t>opcina.negoslavci@gmail.com</w:t>
        </w:r>
      </w:hyperlink>
      <w:r>
        <w:rPr>
          <w:rFonts w:eastAsia="Times New Roman" w:cs="Times New Roman"/>
          <w:szCs w:val="24"/>
          <w:lang w:val="hr-HR" w:eastAsia="hr-HR"/>
        </w:rPr>
        <w:t xml:space="preserve"> </w:t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Izlazi prema potrebi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KAZALO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bidi w:val="0"/>
            <w:jc w:val="both"/>
            <w:rPr>
              <w:rFonts w:eastAsia="Times New Roman" w:cs="Times New Roman"/>
              <w:b/>
              <w:b/>
              <w:bCs/>
              <w:szCs w:val="24"/>
              <w:lang w:val="hr-HR" w:eastAsia="hr-HR"/>
            </w:rPr>
          </w:pPr>
          <w:r>
            <w:fldChar w:fldCharType="begin"/>
          </w:r>
          <w:r>
            <w:rPr>
              <w:b/>
              <w:szCs w:val="24"/>
              <w:bCs/>
              <w:rFonts w:eastAsia="Times New Roman" w:cs="Times New Roman"/>
              <w:lang w:val="hr-HR" w:eastAsia="hr-HR"/>
            </w:rPr>
            <w:instrText xml:space="preserve"> TOC \z \o "1-3" \u \h</w:instrText>
          </w:r>
          <w:r>
            <w:rPr>
              <w:b/>
              <w:szCs w:val="24"/>
              <w:bCs/>
              <w:rFonts w:eastAsia="Times New Roman" w:cs="Times New Roman"/>
              <w:lang w:val="hr-HR" w:eastAsia="hr-HR"/>
            </w:rPr>
            <w:fldChar w:fldCharType="separate"/>
          </w:r>
          <w:r>
            <w:rPr>
              <w:rFonts w:eastAsia="Times New Roman" w:cs="Times New Roman"/>
              <w:b/>
              <w:bCs/>
              <w:szCs w:val="24"/>
              <w:lang w:val="hr-HR" w:eastAsia="hr-HR"/>
            </w:rPr>
          </w:r>
        </w:p>
        <w:p>
          <w:pPr>
            <w:pStyle w:val="Normal"/>
            <w:bidi w:val="0"/>
            <w:jc w:val="center"/>
            <w:rPr>
              <w:rFonts w:eastAsia="Times New Roman" w:cs="Times New Roman"/>
              <w:b/>
              <w:b/>
              <w:bCs/>
              <w:szCs w:val="24"/>
              <w:lang w:val="hr-HR" w:eastAsia="hr-HR"/>
            </w:rPr>
          </w:pPr>
          <w:r>
            <w:rPr>
              <w:rFonts w:eastAsia="Times New Roman" w:cs="Times New Roman"/>
              <w:b/>
              <w:bCs/>
              <w:szCs w:val="24"/>
              <w:lang w:val="hr-HR" w:eastAsia="hr-HR"/>
            </w:rPr>
            <w:t>AKTI</w:t>
          </w:r>
        </w:p>
        <w:p>
          <w:pPr>
            <w:pStyle w:val="Normal"/>
            <w:bidi w:val="0"/>
            <w:jc w:val="left"/>
            <w:rPr/>
          </w:pPr>
          <w:r>
            <w:rPr/>
          </w:r>
        </w:p>
        <w:p>
          <w:pPr>
            <w:pStyle w:val="Normal"/>
            <w:bidi w:val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t>AKTI OPĆINSKOG NAČELNIKA</w:t>
          </w:r>
        </w:p>
        <w:p>
          <w:pPr>
            <w:pStyle w:val="Normal"/>
            <w:bidi w:val="0"/>
            <w:jc w:val="left"/>
            <w:rPr/>
          </w:pPr>
          <w:r>
            <w:rPr/>
          </w:r>
        </w:p>
        <w:p>
          <w:pPr>
            <w:pStyle w:val="Normal"/>
            <w:bidi w:val="0"/>
            <w:jc w:val="left"/>
            <w:rPr/>
          </w:pPr>
          <w:r>
            <w:rPr/>
            <w:t>Pravilnik o sufinanciranju kupnje kuće za mlade i mlade obitelji na području Općine Negoslavci za 2022. godinu</w:t>
          </w:r>
          <w:r>
            <w:rPr/>
            <w:t xml:space="preserve"> .................................................................………………..…………….…...................</w:t>
          </w:r>
          <w:r>
            <w:rPr/>
            <w:t>4</w:t>
          </w:r>
        </w:p>
        <w:p>
          <w:pPr>
            <w:pStyle w:val="Normal"/>
            <w:bidi w:val="0"/>
            <w:jc w:val="left"/>
            <w:rPr/>
          </w:pPr>
          <w:r>
            <w:rPr/>
            <w:t>Pravilnik o poticanju gospodarskog razvoja Općine Negoslavci za 2022. godinu .............................9</w:t>
          </w:r>
          <w:r>
            <w:rPr/>
            <w:fldChar w:fldCharType="end"/>
          </w:r>
        </w:p>
      </w:sdtContent>
    </w:sdt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pageBreakBefore w:val="false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hanging="0"/>
        <w:jc w:val="left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cs="Calibri"/>
          <w:b/>
          <w:bCs/>
          <w:sz w:val="24"/>
          <w:szCs w:val="24"/>
          <w:u w:val="single"/>
          <w:lang w:val="hr-HR"/>
        </w:rPr>
        <w:t>AKTI OPĆINSKOG NAČELNIKA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Na </w:t>
      </w:r>
      <w:r>
        <w:rPr>
          <w:rFonts w:cs="Times New Roman" w:ascii="Times New Roman" w:hAnsi="Times New Roman"/>
          <w:sz w:val="24"/>
          <w:szCs w:val="24"/>
        </w:rPr>
        <w:t>temelju članka 48., stavk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1., točke 5. Zakona o lokalnoj i područnoj (regionalnoj)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samoupravi (</w:t>
      </w:r>
      <w:r>
        <w:rPr>
          <w:rFonts w:cs="Times New Roman" w:ascii="Times New Roman" w:hAnsi="Times New Roman"/>
          <w:sz w:val="24"/>
          <w:szCs w:val="24"/>
          <w:lang w:val="hr-HR"/>
        </w:rPr>
        <w:t>„Narodne novine“ broj</w:t>
      </w:r>
      <w:r>
        <w:rPr>
          <w:rFonts w:cs="Times New Roman" w:ascii="Times New Roman" w:hAnsi="Times New Roman"/>
          <w:sz w:val="24"/>
          <w:szCs w:val="24"/>
        </w:rPr>
        <w:t xml:space="preserve"> 33/01, 60/01, 129/05, 109/07, 125/08, 36/09, 150/11, 144/12, 19/13, 137/15, 123/17 </w:t>
      </w:r>
      <w:r>
        <w:rPr>
          <w:rFonts w:cs="Times New Roman" w:ascii="Times New Roman" w:hAnsi="Times New Roman"/>
          <w:sz w:val="24"/>
          <w:szCs w:val="24"/>
          <w:lang w:val="hr-HR"/>
        </w:rPr>
        <w:t>i 98/19</w:t>
      </w:r>
      <w:r>
        <w:rPr>
          <w:rFonts w:cs="Times New Roman" w:ascii="Times New Roman" w:hAnsi="Times New Roman"/>
          <w:sz w:val="24"/>
          <w:szCs w:val="24"/>
        </w:rPr>
        <w:t xml:space="preserve">) te članka 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>2.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 xml:space="preserve"> stavka 2., </w:t>
      </w:r>
      <w:r>
        <w:rPr>
          <w:rFonts w:cs="Times New Roman" w:ascii="Times New Roman" w:hAnsi="Times New Roman"/>
          <w:color w:val="000000"/>
          <w:sz w:val="24"/>
          <w:szCs w:val="24"/>
        </w:rPr>
        <w:t>točke 2.</w:t>
      </w:r>
      <w:r>
        <w:rPr>
          <w:rFonts w:cs="Times New Roman" w:ascii="Times New Roman" w:hAnsi="Times New Roman"/>
          <w:sz w:val="24"/>
          <w:szCs w:val="24"/>
        </w:rPr>
        <w:t xml:space="preserve"> Statuta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(„</w:t>
      </w:r>
      <w:r>
        <w:rPr>
          <w:rFonts w:cs="Times New Roman" w:ascii="Times New Roman" w:hAnsi="Times New Roman"/>
          <w:sz w:val="24"/>
          <w:szCs w:val="24"/>
        </w:rPr>
        <w:t xml:space="preserve">Službeni </w:t>
      </w:r>
      <w:r>
        <w:rPr>
          <w:rFonts w:cs="Times New Roman" w:ascii="Times New Roman" w:hAnsi="Times New Roman"/>
          <w:sz w:val="24"/>
          <w:szCs w:val="24"/>
          <w:lang w:val="hr-HR"/>
        </w:rPr>
        <w:t>glasnik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Negoslavci” broj 1/21)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 Općine Negoslavci dana 16.12.2022. godine donosi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PRAVILNIK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sufinanciranju kupnje kuće  za mlade i mlade obitelji na području</w:t>
      </w:r>
    </w:p>
    <w:p>
      <w:pPr>
        <w:pStyle w:val="Normal"/>
        <w:spacing w:lineRule="auto" w:line="240" w:before="0" w:after="0"/>
        <w:ind w:left="-426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b/>
          <w:sz w:val="24"/>
          <w:szCs w:val="24"/>
        </w:rPr>
        <w:t xml:space="preserve"> za 20</w:t>
      </w:r>
      <w:r>
        <w:rPr>
          <w:rFonts w:cs="Times New Roman" w:ascii="Times New Roman" w:hAnsi="Times New Roman"/>
          <w:b/>
          <w:sz w:val="24"/>
          <w:szCs w:val="24"/>
          <w:lang w:val="hr-HR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>. godinu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OPĆE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Ovim Pravilnikom se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propisuju</w:t>
      </w:r>
      <w:r>
        <w:rPr>
          <w:rFonts w:cs="Times New Roman" w:ascii="Times New Roman" w:hAnsi="Times New Roman"/>
          <w:sz w:val="24"/>
          <w:szCs w:val="24"/>
        </w:rPr>
        <w:t xml:space="preserve"> uvjeti, način, postupak ostvarivanja prava na potporu, rokovi,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postupak podnošenja zahtjeva za dodjelu potpore, visina potpore te dokumentacija potrebna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za ostvarivanje prava na potporu za provedbu mjere za sufinanciranje kupnje kuće za mlade i mlade obitelji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2.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Za provođenje ovog Pravilnika zadužuj</w:t>
      </w:r>
      <w:r>
        <w:rPr>
          <w:rFonts w:cs="Times New Roman" w:ascii="Times New Roman" w:hAnsi="Times New Roman"/>
          <w:sz w:val="24"/>
          <w:szCs w:val="24"/>
          <w:lang w:val="hr-HR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se </w:t>
      </w:r>
      <w:bookmarkStart w:id="0" w:name="_Hlk121909151"/>
      <w:r>
        <w:rPr>
          <w:rFonts w:cs="Times New Roman" w:ascii="Times New Roman" w:hAnsi="Times New Roman"/>
          <w:sz w:val="24"/>
          <w:szCs w:val="24"/>
        </w:rPr>
        <w:t>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bookmarkEnd w:id="0"/>
      <w:r>
        <w:rPr>
          <w:rFonts w:cs="Times New Roman" w:ascii="Times New Roman" w:hAnsi="Times New Roman"/>
          <w:sz w:val="24"/>
          <w:szCs w:val="24"/>
          <w:lang w:val="hr-HR"/>
        </w:rPr>
        <w:t>i Povjerenstvo za rješavanje prigovora.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Svako </w:t>
      </w:r>
      <w:r>
        <w:rPr>
          <w:rFonts w:cs="Times New Roman" w:ascii="Times New Roman" w:hAnsi="Times New Roman"/>
          <w:sz w:val="24"/>
          <w:szCs w:val="24"/>
        </w:rPr>
        <w:t xml:space="preserve">Povjerenstvo čine predsjednik i dva člana koje imenuje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će </w:t>
      </w:r>
      <w:r>
        <w:rPr>
          <w:rFonts w:cs="Times New Roman" w:ascii="Times New Roman" w:hAnsi="Times New Roman"/>
          <w:sz w:val="24"/>
          <w:szCs w:val="24"/>
          <w:lang w:val="hr-HR"/>
        </w:rPr>
        <w:t>sve aktivnosti provoditi sukladno odredbama ovoga Pravilnika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Odluku o provedbi ovog Pravilnika donosi Općinski načelnik.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I. UVJETI ZA DODJELU POTPORE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3.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Potpora za ovu mjeru dodjeljuje se mladima i mladim obiteljima, a ostvaruje se uz slijedeće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uvjete: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rihvatljivi korisnici ove mjere su osobe koje u trenutku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podnošenja zahtjeva </w:t>
      </w:r>
      <w:r>
        <w:rPr>
          <w:rFonts w:cs="Times New Roman" w:ascii="Times New Roman" w:hAnsi="Times New Roman"/>
          <w:sz w:val="24"/>
          <w:szCs w:val="24"/>
        </w:rPr>
        <w:t>nisu starije od 45 godina,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odnosno podnositelj zahtjeva ne smije biti stariji od 45 godina, 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da </w:t>
      </w:r>
      <w:r>
        <w:rPr>
          <w:rFonts w:cs="Times New Roman" w:ascii="Times New Roman" w:hAnsi="Times New Roman"/>
          <w:sz w:val="24"/>
          <w:szCs w:val="24"/>
        </w:rPr>
        <w:t xml:space="preserve">podnositelj zahtjeva kupuje kuću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da </w:t>
      </w:r>
      <w:r>
        <w:rPr>
          <w:rFonts w:cs="Times New Roman" w:ascii="Times New Roman" w:hAnsi="Times New Roman"/>
          <w:sz w:val="24"/>
          <w:szCs w:val="24"/>
        </w:rPr>
        <w:t xml:space="preserve">podnositelj zahtjeva nema duga na ime javnih davanja </w:t>
      </w:r>
      <w:r>
        <w:rPr>
          <w:rFonts w:cs="Times New Roman" w:ascii="Times New Roman" w:hAnsi="Times New Roman"/>
          <w:sz w:val="24"/>
          <w:szCs w:val="24"/>
          <w:lang w:val="hr-HR"/>
        </w:rPr>
        <w:t>o kojima evidenciju vodi nadležna ispostava Porezne uprave, kao ni dugovanja prema Općini Negoslavci,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>4. da podnositelj zahtjeva nije u razdoblju unazad 5 godina ostvario promet nekretninama, odnosno nije na bilo koji način otuđio stan ili obiteljsku kuću uvjetnu za stanovanje ili građevinsko zemljište za izgradnju stambenog objekta,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 xml:space="preserve">5. </w:t>
      </w:r>
      <w:bookmarkStart w:id="1" w:name="_Hlk121909023"/>
      <w:r>
        <w:rPr>
          <w:rFonts w:cs="Times New Roman" w:ascii="Times New Roman" w:hAnsi="Times New Roman"/>
          <w:sz w:val="24"/>
          <w:szCs w:val="24"/>
          <w:lang w:val="hr-HR"/>
        </w:rPr>
        <w:t>da podnositelj zahtjeva i članovi njegove obitelji imaju prijavljeno prebivalište, odnosno stanuju na području Općine Negoslavci najmanje 6 mjeseci do dana objave Javnog poziva, pri čemu se pod pojmom „stanuju” podrazumijeva i namjera stanovanja koja se iskazuje kupnjom kuće na području Općine Negoslavci,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End w:id="1"/>
      <w:r>
        <w:rPr>
          <w:rFonts w:cs="Times New Roman" w:ascii="Times New Roman" w:hAnsi="Times New Roman"/>
          <w:sz w:val="24"/>
          <w:szCs w:val="24"/>
          <w:lang w:val="hr-HR"/>
        </w:rPr>
        <w:t>6</w:t>
      </w:r>
      <w:r>
        <w:rPr>
          <w:rFonts w:cs="Times New Roman" w:ascii="Times New Roman" w:hAnsi="Times New Roman"/>
          <w:sz w:val="24"/>
          <w:szCs w:val="24"/>
        </w:rPr>
        <w:t>. fizička osoba prodavatelj nekretnine ne smije biti u srodstvu s podnositeljem zahtjeva 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članovima njegove obitelji do trećeg nasljednog reda u smislu Zakona o nasljeđivanju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sz w:val="24"/>
          <w:szCs w:val="24"/>
          <w:lang w:val="hr-HR"/>
        </w:rPr>
        <w:t>„</w:t>
      </w:r>
      <w:r>
        <w:rPr>
          <w:rFonts w:cs="Times New Roman" w:ascii="Times New Roman" w:hAnsi="Times New Roman"/>
          <w:sz w:val="24"/>
          <w:szCs w:val="24"/>
        </w:rPr>
        <w:t>Narodne novine</w:t>
      </w:r>
      <w:r>
        <w:rPr>
          <w:rFonts w:cs="Times New Roman" w:ascii="Times New Roman" w:hAnsi="Times New Roman"/>
          <w:sz w:val="24"/>
          <w:szCs w:val="24"/>
          <w:lang w:val="hr-HR"/>
        </w:rPr>
        <w:t>“</w:t>
      </w:r>
      <w:r>
        <w:rPr>
          <w:rFonts w:cs="Times New Roman" w:ascii="Times New Roman" w:hAnsi="Times New Roman"/>
          <w:sz w:val="24"/>
          <w:szCs w:val="24"/>
        </w:rPr>
        <w:t xml:space="preserve"> broj 48/03, 163/03, 35/05, 127/13 i 33/15)</w:t>
      </w:r>
      <w:r>
        <w:rPr>
          <w:rFonts w:cs="Times New Roman" w:ascii="Times New Roman" w:hAnsi="Times New Roman"/>
          <w:sz w:val="24"/>
          <w:szCs w:val="24"/>
          <w:lang w:val="hr-HR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 pod uvjetom da vlasnik objekta nakon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24 </w:t>
      </w:r>
      <w:r>
        <w:rPr>
          <w:rFonts w:cs="Times New Roman" w:ascii="Times New Roman" w:hAnsi="Times New Roman"/>
          <w:sz w:val="24"/>
          <w:szCs w:val="24"/>
        </w:rPr>
        <w:t>mjesec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od primitka novčanih sredstava iz ove mjere počne </w:t>
      </w:r>
      <w:r>
        <w:rPr>
          <w:rFonts w:cs="Times New Roman" w:ascii="Times New Roman" w:hAnsi="Times New Roman"/>
          <w:sz w:val="24"/>
          <w:szCs w:val="24"/>
          <w:lang w:val="hr-HR"/>
        </w:rPr>
        <w:t>koristiti</w:t>
      </w:r>
      <w:r>
        <w:rPr>
          <w:rFonts w:cs="Times New Roman" w:ascii="Times New Roman" w:hAnsi="Times New Roman"/>
          <w:sz w:val="24"/>
          <w:szCs w:val="24"/>
        </w:rPr>
        <w:t xml:space="preserve"> kupljen</w:t>
      </w:r>
      <w:r>
        <w:rPr>
          <w:rFonts w:cs="Times New Roman" w:ascii="Times New Roman" w:hAnsi="Times New Roman"/>
          <w:sz w:val="24"/>
          <w:szCs w:val="24"/>
          <w:lang w:val="hr-HR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stambeni </w:t>
      </w:r>
      <w:r>
        <w:rPr>
          <w:rFonts w:cs="Times New Roman" w:ascii="Times New Roman" w:hAnsi="Times New Roman"/>
          <w:sz w:val="24"/>
          <w:szCs w:val="24"/>
        </w:rPr>
        <w:t xml:space="preserve">objekt i da objekt ne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otuđi na bilo koji način </w:t>
      </w:r>
      <w:r>
        <w:rPr>
          <w:rFonts w:cs="Times New Roman" w:ascii="Times New Roman" w:hAnsi="Times New Roman"/>
          <w:sz w:val="24"/>
          <w:szCs w:val="24"/>
        </w:rPr>
        <w:t>najmanje 5 godina računajući od godine u kojoj je ostvario potporu.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Ukoliko korisnik potpore, uslijed objektivnih okolnosti na koje nije mogao utjecati ili uslijed okolnosti izazvanih višom silom, nije u mogućnosti ispoštovati rok propisan stavkom 2. ovoga članka, dužan je najkasnije 8 dana prije istoka navedenog roka Jedinstvenom upravnom odjelu Općine Negoslavci dostaviti pisani zahtjev za produljenje istoga.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4.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bookmarkStart w:id="2" w:name="_Hlk121903648"/>
      <w:r>
        <w:rPr>
          <w:rFonts w:cs="Times New Roman" w:ascii="Times New Roman" w:hAnsi="Times New Roman"/>
          <w:sz w:val="24"/>
          <w:szCs w:val="24"/>
        </w:rPr>
        <w:t>Kao jamstvo za uredno ispunjenje rokova useljenja u kuću  i jamstvo da kupljenu kuću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neće </w:t>
      </w:r>
      <w:r>
        <w:rPr>
          <w:rFonts w:cs="Times New Roman" w:ascii="Times New Roman" w:hAnsi="Times New Roman"/>
          <w:sz w:val="24"/>
          <w:szCs w:val="24"/>
          <w:lang w:val="hr-HR"/>
        </w:rPr>
        <w:t>otuđiti</w:t>
      </w:r>
      <w:r>
        <w:rPr>
          <w:rFonts w:cs="Times New Roman" w:ascii="Times New Roman" w:hAnsi="Times New Roman"/>
          <w:sz w:val="24"/>
          <w:szCs w:val="24"/>
        </w:rPr>
        <w:t xml:space="preserve"> u roku od najmanje 5 godina, korisnik potpore je prije zaključivanja Ugovora o </w:t>
      </w:r>
      <w:r>
        <w:rPr>
          <w:rFonts w:cs="Times New Roman" w:ascii="Times New Roman" w:hAnsi="Times New Roman"/>
          <w:sz w:val="24"/>
          <w:szCs w:val="24"/>
          <w:lang w:val="hr-HR"/>
        </w:rPr>
        <w:t>sufinanciranju kupnje kuće</w:t>
      </w:r>
      <w:r>
        <w:rPr>
          <w:rFonts w:cs="Times New Roman" w:ascii="Times New Roman" w:hAnsi="Times New Roman"/>
          <w:sz w:val="24"/>
          <w:szCs w:val="24"/>
        </w:rPr>
        <w:t xml:space="preserve"> obvezan </w:t>
      </w:r>
      <w:r>
        <w:rPr>
          <w:rFonts w:cs="Times New Roman" w:ascii="Times New Roman" w:hAnsi="Times New Roman"/>
          <w:sz w:val="24"/>
          <w:szCs w:val="24"/>
          <w:lang w:val="hr-HR"/>
        </w:rPr>
        <w:t>Jedinstvenom upravnom odjelu Općine Negoslavci</w:t>
      </w:r>
      <w:r>
        <w:rPr>
          <w:rFonts w:cs="Times New Roman" w:ascii="Times New Roman" w:hAnsi="Times New Roman"/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Korisniku potpore koji je dostavio bjanko zadužnicu kao instrument osiguranja neiskorištena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bjanko zadužnica se vraća po proteku 5 godina od dana realiziranja subvencije.</w:t>
      </w:r>
      <w:bookmarkEnd w:id="2"/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Članak 5.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Korisnik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potpore </w:t>
      </w:r>
      <w:r>
        <w:rPr>
          <w:rFonts w:cs="Times New Roman" w:ascii="Times New Roman" w:hAnsi="Times New Roman"/>
          <w:sz w:val="24"/>
          <w:szCs w:val="24"/>
        </w:rPr>
        <w:t xml:space="preserve"> dužan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je </w:t>
      </w:r>
      <w:r>
        <w:rPr>
          <w:rFonts w:cs="Times New Roman" w:ascii="Times New Roman" w:hAnsi="Times New Roman"/>
          <w:sz w:val="24"/>
          <w:szCs w:val="24"/>
        </w:rPr>
        <w:t xml:space="preserve">u razdoblju od 5 godina, svake godine u vremenu od </w:t>
      </w:r>
      <w:r>
        <w:rPr>
          <w:rFonts w:cs="Times New Roman" w:ascii="Times New Roman" w:hAnsi="Times New Roman"/>
          <w:sz w:val="24"/>
          <w:szCs w:val="24"/>
          <w:lang w:val="hr-HR"/>
        </w:rPr>
        <w:t>0</w:t>
      </w:r>
      <w:r>
        <w:rPr>
          <w:rFonts w:cs="Times New Roman" w:ascii="Times New Roman" w:hAnsi="Times New Roman"/>
          <w:sz w:val="24"/>
          <w:szCs w:val="24"/>
        </w:rPr>
        <w:t>1.12.-31.12.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dostaviti </w:t>
      </w:r>
      <w:r>
        <w:rPr>
          <w:rFonts w:cs="Times New Roman" w:ascii="Times New Roman" w:hAnsi="Times New Roman"/>
          <w:sz w:val="24"/>
          <w:szCs w:val="24"/>
          <w:lang w:val="hr-HR"/>
        </w:rPr>
        <w:t>Jedinstvenom upravnom odjelu Općine Negoslavci</w:t>
      </w:r>
      <w:r>
        <w:rPr>
          <w:rFonts w:cs="Times New Roman" w:ascii="Times New Roman" w:hAnsi="Times New Roman"/>
          <w:sz w:val="24"/>
          <w:szCs w:val="24"/>
        </w:rPr>
        <w:t xml:space="preserve"> dokaz o prebivalištu/</w:t>
      </w:r>
      <w:r>
        <w:rPr>
          <w:rFonts w:cs="Times New Roman" w:ascii="Times New Roman" w:hAnsi="Times New Roman"/>
          <w:sz w:val="24"/>
          <w:szCs w:val="24"/>
          <w:lang w:val="hr-HR"/>
        </w:rPr>
        <w:t>stanovanju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PROVEDBA MJERE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Članak 6.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Za provedbu ove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</w:t>
      </w:r>
      <w:r>
        <w:rPr>
          <w:rFonts w:cs="Times New Roman" w:ascii="Times New Roman" w:hAnsi="Times New Roman"/>
          <w:sz w:val="24"/>
          <w:szCs w:val="24"/>
          <w:lang w:val="hr-HR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u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za 20</w:t>
      </w:r>
      <w:r>
        <w:rPr>
          <w:rFonts w:cs="Times New Roman" w:ascii="Times New Roman" w:hAnsi="Times New Roman"/>
          <w:sz w:val="24"/>
          <w:szCs w:val="24"/>
          <w:lang w:val="hr-HR"/>
        </w:rPr>
        <w:t>22</w:t>
      </w:r>
      <w:r>
        <w:rPr>
          <w:rFonts w:cs="Times New Roman" w:ascii="Times New Roman" w:hAnsi="Times New Roman"/>
          <w:sz w:val="24"/>
          <w:szCs w:val="24"/>
        </w:rPr>
        <w:t>. godinu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planirana</w:t>
      </w:r>
      <w:r>
        <w:rPr>
          <w:rFonts w:cs="Times New Roman" w:ascii="Times New Roman" w:hAnsi="Times New Roman"/>
          <w:sz w:val="24"/>
          <w:szCs w:val="24"/>
        </w:rPr>
        <w:t xml:space="preserve"> su sredstva u ukupnom iznosu od </w:t>
      </w:r>
      <w:r>
        <w:rPr>
          <w:rFonts w:cs="Times New Roman" w:ascii="Times New Roman" w:hAnsi="Times New Roman"/>
          <w:sz w:val="24"/>
          <w:szCs w:val="24"/>
          <w:lang w:val="hr-HR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.000,00 </w:t>
      </w:r>
      <w:r>
        <w:rPr>
          <w:rFonts w:cs="Times New Roman" w:ascii="Times New Roman" w:hAnsi="Times New Roman"/>
          <w:sz w:val="24"/>
          <w:szCs w:val="24"/>
          <w:lang w:val="hr-HR"/>
        </w:rPr>
        <w:t>KN, odnosno 13.272.28 EUR (po fiksnom tečaju konverzije 1,00 EUR = 7,53450 HRK).</w:t>
      </w:r>
    </w:p>
    <w:p>
      <w:pPr>
        <w:pStyle w:val="Normal"/>
        <w:ind w:left="-426" w:righ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  <w:lang w:val="hr-HR"/>
        </w:rPr>
        <w:t>Općina Negoslavci</w:t>
      </w:r>
      <w:r>
        <w:rPr>
          <w:rFonts w:cs="Times New Roman" w:ascii="Times New Roman" w:hAnsi="Times New Roman"/>
          <w:sz w:val="24"/>
          <w:szCs w:val="24"/>
        </w:rPr>
        <w:t xml:space="preserve"> će sufinancirati kupnju kuće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na području Općine Negoslavci </w:t>
      </w:r>
      <w:r>
        <w:rPr>
          <w:rFonts w:cs="Times New Roman" w:ascii="Times New Roman" w:hAnsi="Times New Roman"/>
          <w:sz w:val="24"/>
          <w:szCs w:val="24"/>
        </w:rPr>
        <w:t xml:space="preserve">u iznosu od </w:t>
      </w:r>
      <w:r>
        <w:rPr>
          <w:rFonts w:cs="Times New Roman" w:ascii="Times New Roman" w:hAnsi="Times New Roman"/>
          <w:bCs/>
          <w:sz w:val="24"/>
          <w:szCs w:val="24"/>
          <w:lang w:val="hr-HR"/>
        </w:rPr>
        <w:t>24.864,00 KN (dvadesetčetiritisućeosamstošezdesetčetirikune), odnosno 3.300,00 EUR (tritisućetristoeura).</w:t>
      </w:r>
    </w:p>
    <w:p>
      <w:pPr>
        <w:pStyle w:val="Normal"/>
        <w:ind w:left="-426" w:right="0" w:firstLine="426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 ZAJEDNIČKE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7.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Za provedbu ove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 iz ovog Pravilnika raspisat će se Javni poziv.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Javni poziv raspisuje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Javni poziv bit će otvoren </w:t>
      </w:r>
      <w:r>
        <w:rPr>
          <w:rFonts w:cs="Times New Roman" w:ascii="Times New Roman" w:hAnsi="Times New Roman"/>
          <w:color w:val="000000"/>
          <w:sz w:val="24"/>
          <w:szCs w:val="24"/>
          <w:lang w:val="hr-HR"/>
        </w:rPr>
        <w:t>15 dana od dana objave na internet stranici Općine Negoslavci.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8.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Prijave će se ocjenjivati temeljem kriterija i dodjelom odgovarajućeg broja bodova uz svaki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kriterij </w:t>
      </w:r>
      <w:r>
        <w:rPr>
          <w:rFonts w:cs="Times New Roman" w:ascii="Times New Roman" w:hAnsi="Times New Roman"/>
          <w:sz w:val="24"/>
          <w:szCs w:val="24"/>
          <w:lang w:val="hr-HR"/>
        </w:rPr>
        <w:t>(PRILOG 1 Pravilnika).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Sve pristigle prijave će ocijeniti članovi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ispravnosti i provedbu postupka te utvrđivanja prijedloga Odluke o dodjeli potpora temeljem Javnog poziva za sufinanciranje kupnje kuće za mlade i mlade obitelji na 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u 2022 godini.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cs="Times New Roman" w:ascii="Times New Roman" w:hAnsi="Times New Roman"/>
          <w:sz w:val="24"/>
          <w:szCs w:val="24"/>
          <w:lang w:val="hr-HR"/>
        </w:rPr>
        <w:tab/>
        <w:t>Nepotpune i nepravovremene prijave neće se razmatrati.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Ukoliko dvije ili više prijava imaju isti broj utvrđenih bodova, prednost za ostvarivanje prava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ove Mjere ima korisnik potpore koji je prije predao dokumentaciju.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  <w:lang w:val="hr-HR"/>
        </w:rPr>
        <w:t>U slučaju eventualne potrebe,</w:t>
      </w:r>
      <w:r>
        <w:rPr>
          <w:rFonts w:cs="Times New Roman" w:ascii="Times New Roman" w:hAnsi="Times New Roman"/>
          <w:sz w:val="24"/>
          <w:szCs w:val="24"/>
        </w:rPr>
        <w:t xml:space="preserve"> 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će tražiti nadopunu dokumentacije koju je prijavitelj dužan dostaviti u roku od 5 radnih dana od dana primitka Zahtjeva za nadopunu.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Ukoliko prijavitelj ne dostavi traženu dokumentaciju u navedenom roku, njegova se prijava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neće razmatrati.</w:t>
      </w:r>
    </w:p>
    <w:p>
      <w:pPr>
        <w:pStyle w:val="Normal"/>
        <w:spacing w:lineRule="auto" w:line="240" w:before="0" w:after="0"/>
        <w:ind w:left="-426" w:right="0"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Povjerenstvo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nakon provedenog 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okončanog postupka sastavlja prijedlog Odluke o dodjeli sredstava potpore i </w:t>
      </w:r>
      <w:r>
        <w:rPr>
          <w:rFonts w:cs="Times New Roman" w:ascii="Times New Roman" w:hAnsi="Times New Roman"/>
          <w:sz w:val="24"/>
          <w:szCs w:val="24"/>
        </w:rPr>
        <w:t xml:space="preserve">dostavlja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Općinskom načelniku na verificiranje. 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 postupku utvrđivanja prijedloga Odluke na sjednici se razmatra Zapisnik o javnom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otvaranju zahtjeva</w:t>
      </w:r>
      <w:r>
        <w:rPr>
          <w:rFonts w:cs="Times New Roman" w:ascii="Times New Roman" w:hAnsi="Times New Roman"/>
          <w:sz w:val="24"/>
          <w:szCs w:val="24"/>
          <w:lang w:val="hr-HR"/>
        </w:rPr>
        <w:t>, koji potpisuju svi članovi Povjerenstva.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Prijedlog Odluke potpisuje Predsjednik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9.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Odluku o dodjeli potpore donosi </w:t>
      </w:r>
      <w:r>
        <w:rPr>
          <w:rFonts w:cs="Times New Roman" w:ascii="Times New Roman" w:hAnsi="Times New Roman"/>
          <w:sz w:val="24"/>
          <w:szCs w:val="24"/>
          <w:lang w:val="hr-HR"/>
        </w:rPr>
        <w:t>Općinski načelnik</w:t>
      </w:r>
      <w:r>
        <w:rPr>
          <w:rFonts w:cs="Times New Roman" w:ascii="Times New Roman" w:hAnsi="Times New Roman"/>
          <w:sz w:val="24"/>
          <w:szCs w:val="24"/>
        </w:rPr>
        <w:t xml:space="preserve"> na prijedlog Povjerenstv</w:t>
      </w:r>
      <w:r>
        <w:rPr>
          <w:rFonts w:cs="Times New Roman" w:ascii="Times New Roman" w:hAnsi="Times New Roman"/>
          <w:sz w:val="24"/>
          <w:szCs w:val="24"/>
          <w:lang w:val="hr-HR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za provjeru administrativne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ispravnosti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i </w:t>
      </w:r>
      <w:r>
        <w:rPr>
          <w:rFonts w:cs="Times New Roman" w:ascii="Times New Roman" w:hAnsi="Times New Roman"/>
          <w:sz w:val="24"/>
          <w:szCs w:val="24"/>
        </w:rPr>
        <w:t xml:space="preserve">provedbu postupka </w:t>
      </w:r>
      <w:r>
        <w:rPr>
          <w:rFonts w:cs="Times New Roman" w:ascii="Times New Roman" w:hAnsi="Times New Roman"/>
          <w:sz w:val="24"/>
          <w:szCs w:val="24"/>
          <w:lang w:val="hr-HR"/>
        </w:rPr>
        <w:t>te utvrđivanja prijedloga Odluke</w:t>
      </w:r>
      <w:r>
        <w:rPr>
          <w:rFonts w:cs="Times New Roman" w:ascii="Times New Roman" w:hAnsi="Times New Roman"/>
          <w:sz w:val="24"/>
          <w:szCs w:val="24"/>
        </w:rPr>
        <w:t xml:space="preserve"> o dodjeli potpora.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Odluka se objavljuje na </w:t>
      </w:r>
      <w:r>
        <w:rPr>
          <w:rFonts w:cs="Times New Roman" w:ascii="Times New Roman" w:hAnsi="Times New Roman"/>
          <w:sz w:val="24"/>
          <w:szCs w:val="24"/>
          <w:lang w:val="hr-HR"/>
        </w:rPr>
        <w:t>internet stranici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najkasnije u roku od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 dana od dana njezinog donošenja.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Start w:id="3" w:name="_Hlk121909218"/>
      <w:bookmarkEnd w:id="3"/>
      <w:r>
        <w:rPr>
          <w:rFonts w:cs="Times New Roman" w:ascii="Times New Roman" w:hAnsi="Times New Roman"/>
          <w:sz w:val="24"/>
          <w:szCs w:val="24"/>
          <w:lang w:val="hr-HR"/>
        </w:rPr>
        <w:tab/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bookmarkStart w:id="4" w:name="_Hlk1219092181"/>
      <w:bookmarkEnd w:id="4"/>
      <w:r>
        <w:rPr>
          <w:rFonts w:cs="Times New Roman" w:ascii="Times New Roman" w:hAnsi="Times New Roman"/>
          <w:sz w:val="24"/>
          <w:szCs w:val="24"/>
        </w:rPr>
        <w:tab/>
      </w:r>
      <w:bookmarkStart w:id="5" w:name="_Hlk121909243"/>
      <w:r>
        <w:rPr>
          <w:rFonts w:cs="Times New Roman" w:ascii="Times New Roman" w:hAnsi="Times New Roman"/>
          <w:sz w:val="24"/>
          <w:szCs w:val="24"/>
          <w:lang w:val="hr-HR"/>
        </w:rPr>
        <w:t>Po konačnosti Odluke o sufinanciranju kupnje kuće na području Općine Negoslavci Općinski načelnik i korisnik sredstava zaključuju Ugovor o sufinanciranju kupnje kuće kojim se pobliže određuju prava i obveze obiju ugovornih strana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End w:id="5"/>
      <w:r>
        <w:rPr>
          <w:rFonts w:cs="Times New Roman" w:ascii="Times New Roman" w:hAnsi="Times New Roman"/>
          <w:b/>
          <w:sz w:val="24"/>
          <w:szCs w:val="24"/>
        </w:rPr>
        <w:t>Članak 10.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Podnositelj zahtjeva nema pravo na potporu ukoliko je za istu namjenu primio potporu iz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drugih izvora.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Korisnik potpore dužan je omogućiti davatelju potpore kontrolu namjenskog utroška dobivene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potpore.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11.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Ukoliko se utvrdi da je podnositelj ostvario potporu na temelju dostavljene neistinite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dokumentacije ili se utvrdi da je za istu namjenu primio potporu iz drugih izvora, dobivena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sredstva mora vratiti u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</w:t>
      </w:r>
      <w:r>
        <w:rPr>
          <w:rFonts w:cs="Times New Roman" w:ascii="Times New Roman" w:hAnsi="Times New Roman"/>
          <w:sz w:val="24"/>
          <w:szCs w:val="24"/>
        </w:rPr>
        <w:t xml:space="preserve"> u roku od 15 dana od poziva za povrat te će biti isključen iz svih </w:t>
      </w:r>
      <w:r>
        <w:rPr>
          <w:rFonts w:cs="Times New Roman" w:ascii="Times New Roman" w:hAnsi="Times New Roman"/>
          <w:sz w:val="24"/>
          <w:szCs w:val="24"/>
          <w:lang w:val="hr-HR"/>
        </w:rPr>
        <w:t>općinskih</w:t>
      </w:r>
      <w:r>
        <w:rPr>
          <w:rFonts w:cs="Times New Roman" w:ascii="Times New Roman" w:hAnsi="Times New Roman"/>
          <w:sz w:val="24"/>
          <w:szCs w:val="24"/>
        </w:rPr>
        <w:t xml:space="preserve"> potpora u narednih 5 godina.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Ukoliko je korisniku </w:t>
      </w:r>
      <w:r>
        <w:rPr>
          <w:rFonts w:cs="Times New Roman" w:ascii="Times New Roman" w:hAnsi="Times New Roman"/>
          <w:sz w:val="24"/>
          <w:szCs w:val="24"/>
          <w:lang w:val="hr-HR"/>
        </w:rPr>
        <w:t>općinske</w:t>
      </w:r>
      <w:r>
        <w:rPr>
          <w:rFonts w:cs="Times New Roman" w:ascii="Times New Roman" w:hAnsi="Times New Roman"/>
          <w:sz w:val="24"/>
          <w:szCs w:val="24"/>
        </w:rPr>
        <w:t xml:space="preserve"> potpore u tekućoj godini pogreškom isplaćen viši iznos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potpore od odobrenog, dužan je u roku od 8 dana od primljene obavijesti o pogrešci viši iznos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isplaćene potpore vratiti u proračun.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 ZAVRŠNE ODREDBE</w:t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12.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Obrazac za prijavu i sva potrebna dokumentacija bit će objavljena u Javnom pozivu.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13.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Korisnici iz </w:t>
      </w:r>
      <w:r>
        <w:rPr>
          <w:rFonts w:cs="Times New Roman" w:ascii="Times New Roman" w:hAnsi="Times New Roman"/>
          <w:sz w:val="24"/>
          <w:szCs w:val="24"/>
          <w:lang w:val="hr-HR"/>
        </w:rPr>
        <w:t>m</w:t>
      </w:r>
      <w:r>
        <w:rPr>
          <w:rFonts w:cs="Times New Roman" w:ascii="Times New Roman" w:hAnsi="Times New Roman"/>
          <w:sz w:val="24"/>
          <w:szCs w:val="24"/>
        </w:rPr>
        <w:t>jere za sufinanciranje kupnje kuće za mlade i mlade obitelji na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području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Negoslavci,</w:t>
      </w:r>
      <w:r>
        <w:rPr>
          <w:rFonts w:cs="Times New Roman" w:ascii="Times New Roman" w:hAnsi="Times New Roman"/>
          <w:sz w:val="24"/>
          <w:szCs w:val="24"/>
        </w:rPr>
        <w:t xml:space="preserve"> pravo na potporu mogu ostvariti po Javnom pozivu koji će biti raspisan u 20</w:t>
      </w:r>
      <w:r>
        <w:rPr>
          <w:rFonts w:cs="Times New Roman" w:ascii="Times New Roman" w:hAnsi="Times New Roman"/>
          <w:sz w:val="24"/>
          <w:szCs w:val="24"/>
          <w:lang w:val="hr-HR"/>
        </w:rPr>
        <w:t>23</w:t>
      </w:r>
      <w:r>
        <w:rPr>
          <w:rFonts w:cs="Times New Roman" w:ascii="Times New Roman" w:hAnsi="Times New Roman"/>
          <w:sz w:val="24"/>
          <w:szCs w:val="24"/>
        </w:rPr>
        <w:t>. godini.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Osobe koje su kupile kuću u tekućoj </w:t>
      </w:r>
      <w:r>
        <w:rPr>
          <w:rFonts w:cs="Times New Roman" w:ascii="Times New Roman" w:hAnsi="Times New Roman"/>
          <w:sz w:val="24"/>
          <w:szCs w:val="24"/>
          <w:lang w:val="hr-HR"/>
        </w:rPr>
        <w:t>2022. godini</w:t>
      </w:r>
      <w:r>
        <w:rPr>
          <w:rFonts w:cs="Times New Roman" w:ascii="Times New Roman" w:hAnsi="Times New Roman"/>
          <w:sz w:val="24"/>
          <w:szCs w:val="24"/>
        </w:rPr>
        <w:t xml:space="preserve"> i koje zadovoljavaju sve uvjete ovog Pravilnika imaju pravo na potporu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temeljem </w:t>
      </w:r>
      <w:r>
        <w:rPr>
          <w:rFonts w:cs="Times New Roman" w:ascii="Times New Roman" w:hAnsi="Times New Roman"/>
          <w:sz w:val="24"/>
          <w:szCs w:val="24"/>
        </w:rPr>
        <w:t xml:space="preserve">ove Mjere, </w:t>
      </w:r>
      <w:r>
        <w:rPr>
          <w:rFonts w:cs="Times New Roman" w:ascii="Times New Roman" w:hAnsi="Times New Roman"/>
          <w:sz w:val="24"/>
          <w:szCs w:val="24"/>
          <w:lang w:val="hr-HR"/>
        </w:rPr>
        <w:t>što se dokazuje Ugovorom/predugovorom o kupoprodaji nekretnine ili vlasničkim listom ne starijim od 30 dana od dana objave Javnog poziva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Članak 14.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Ovaj Pravilnik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se </w:t>
      </w:r>
      <w:r>
        <w:rPr>
          <w:rFonts w:cs="Times New Roman" w:ascii="Times New Roman" w:hAnsi="Times New Roman"/>
          <w:sz w:val="24"/>
          <w:szCs w:val="24"/>
        </w:rPr>
        <w:t xml:space="preserve">odnosi na </w:t>
      </w:r>
      <w:r>
        <w:rPr>
          <w:rFonts w:cs="Times New Roman" w:ascii="Times New Roman" w:hAnsi="Times New Roman"/>
          <w:sz w:val="24"/>
          <w:szCs w:val="24"/>
          <w:lang w:val="hr-HR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roračun </w:t>
      </w:r>
      <w:r>
        <w:rPr>
          <w:rFonts w:cs="Times New Roman" w:ascii="Times New Roman" w:hAnsi="Times New Roman"/>
          <w:sz w:val="24"/>
          <w:szCs w:val="24"/>
          <w:lang w:val="hr-HR"/>
        </w:rPr>
        <w:t>Općine Negoslavci za 2022 godinu</w:t>
      </w:r>
      <w:r>
        <w:rPr>
          <w:rFonts w:cs="Times New Roman" w:ascii="Times New Roman" w:hAnsi="Times New Roman"/>
          <w:sz w:val="24"/>
          <w:szCs w:val="24"/>
        </w:rPr>
        <w:t xml:space="preserve"> 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objavit će se u Službenom </w:t>
      </w:r>
      <w:r>
        <w:rPr>
          <w:rFonts w:cs="Times New Roman" w:ascii="Times New Roman" w:hAnsi="Times New Roman"/>
          <w:sz w:val="24"/>
          <w:szCs w:val="24"/>
          <w:lang w:val="hr-HR"/>
        </w:rPr>
        <w:t>glasniku Općine Negoslavci</w:t>
      </w:r>
      <w:r>
        <w:rPr>
          <w:rFonts w:cs="Times New Roman" w:ascii="Times New Roman" w:hAnsi="Times New Roman"/>
          <w:sz w:val="24"/>
          <w:szCs w:val="24"/>
        </w:rPr>
        <w:t xml:space="preserve"> i na 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internet </w:t>
      </w:r>
      <w:r>
        <w:rPr>
          <w:rFonts w:cs="Times New Roman" w:ascii="Times New Roman" w:hAnsi="Times New Roman"/>
          <w:sz w:val="24"/>
          <w:szCs w:val="24"/>
        </w:rPr>
        <w:t>stranici</w:t>
      </w:r>
      <w:r>
        <w:rPr>
          <w:rFonts w:cs="Times New Roman" w:ascii="Times New Roman" w:hAnsi="Times New Roman"/>
          <w:sz w:val="24"/>
          <w:szCs w:val="24"/>
          <w:lang w:val="hr-HR"/>
        </w:rPr>
        <w:t xml:space="preserve"> Općine Negoslavci.</w:t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Članak 15.</w:t>
      </w:r>
    </w:p>
    <w:p>
      <w:pPr>
        <w:pStyle w:val="Normal"/>
        <w:spacing w:lineRule="auto" w:line="240" w:before="0" w:after="0"/>
        <w:ind w:left="-42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Pravilnik stupa na snagu </w:t>
      </w:r>
      <w:r>
        <w:rPr>
          <w:rFonts w:cs="Times New Roman" w:ascii="Times New Roman" w:hAnsi="Times New Roman"/>
          <w:sz w:val="24"/>
          <w:szCs w:val="24"/>
          <w:lang w:val="hr-HR"/>
        </w:rPr>
        <w:t>narednog dana od dana objave u Službenom glasniku Općine Negoslavci.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ind w:left="-426" w:right="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hr-HR"/>
        </w:rPr>
        <w:t>KLASA: 370-01/22-01/01</w:t>
      </w:r>
    </w:p>
    <w:p>
      <w:pPr>
        <w:pStyle w:val="Normal"/>
        <w:spacing w:lineRule="auto" w:line="240" w:before="0" w:after="0"/>
        <w:ind w:left="-426" w:right="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hr-HR"/>
        </w:rPr>
        <w:t>URBROJ: 2196-19-01-22-01</w:t>
      </w:r>
    </w:p>
    <w:p>
      <w:pPr>
        <w:pStyle w:val="Normal"/>
        <w:spacing w:lineRule="auto" w:line="240" w:before="0" w:after="0"/>
        <w:ind w:left="-426" w:right="0" w:hanging="0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hr-HR"/>
        </w:rPr>
        <w:t>Negoslavci, 16.12.2022 godine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hr-HR"/>
        </w:rPr>
        <w:t>OPĆINSKI NAČELNIK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  <w:lang w:val="hr-HR"/>
        </w:rPr>
        <w:t>Dušan Jeckov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  <w:t>PRILOG 1</w:t>
      </w:r>
    </w:p>
    <w:p>
      <w:pPr>
        <w:pStyle w:val="Normal"/>
        <w:spacing w:lineRule="auto" w:line="240" w:before="0" w:after="0"/>
        <w:rPr/>
      </w:pPr>
      <w:r>
        <w:rPr>
          <w:b/>
          <w:lang w:val="en-US"/>
        </w:rPr>
        <w:t>KRITERIJI ZA OCJENU PRIJAVA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 xml:space="preserve">Pravodobne i </w:t>
      </w:r>
      <w:r>
        <w:rPr>
          <w:lang w:val="hr-HR"/>
        </w:rPr>
        <w:t>potpune</w:t>
      </w:r>
      <w:r>
        <w:rPr>
          <w:lang w:val="en-US"/>
        </w:rPr>
        <w:t xml:space="preserve"> prijave za stambeno zbrinjavanje boduju se na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>slijedeći način: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en-US"/>
        </w:rPr>
        <w:t>1.</w:t>
      </w:r>
      <w:r>
        <w:rPr>
          <w:lang w:val="hr-HR"/>
        </w:rPr>
        <w:t xml:space="preserve"> </w:t>
      </w:r>
      <w:r>
        <w:rPr>
          <w:lang w:val="en-US"/>
        </w:rPr>
        <w:t>Prema broju članova obiteljskog kućanstva navedenih u prijavi za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>stambeno zbrinjavanje,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>-  podnositelj prijave ostvaruje za sebe</w:t>
        <w:tab/>
        <w:tab/>
        <w:tab/>
        <w:tab/>
        <w:tab/>
        <w:tab/>
        <w:t xml:space="preserve">     </w:t>
      </w:r>
      <w:r>
        <w:rPr>
          <w:b/>
          <w:bCs/>
          <w:lang w:val="en-US"/>
        </w:rPr>
        <w:t>10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 xml:space="preserve">-  za svakog sljedećeg člana </w:t>
        <w:tab/>
        <w:tab/>
        <w:tab/>
        <w:tab/>
        <w:tab/>
        <w:tab/>
        <w:t xml:space="preserve">                              </w:t>
      </w:r>
      <w:r>
        <w:rPr>
          <w:b/>
          <w:bCs/>
          <w:lang w:val="en-US"/>
        </w:rPr>
        <w:t>5</w:t>
      </w:r>
      <w:r>
        <w:rPr>
          <w:lang w:val="en-US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ab/>
      </w:r>
    </w:p>
    <w:p>
      <w:pPr>
        <w:pStyle w:val="Normal"/>
        <w:spacing w:lineRule="auto" w:line="240" w:before="0" w:after="0"/>
        <w:rPr/>
      </w:pPr>
      <w:r>
        <w:rPr>
          <w:b/>
          <w:lang w:val="en-US"/>
        </w:rPr>
        <w:t>2.</w:t>
      </w:r>
      <w:r>
        <w:rPr>
          <w:lang w:val="en-US"/>
        </w:rPr>
        <w:t xml:space="preserve"> Prema broju djece predškolske dobi ili djece koja se redovito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>školuju navedenih u prijavi za stambeno zbrinjavanje, podnositelj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 xml:space="preserve">prijave ostvaruje 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 xml:space="preserve">- za svako dijete </w:t>
        <w:tab/>
        <w:tab/>
        <w:tab/>
        <w:tab/>
        <w:tab/>
        <w:tab/>
        <w:tab/>
        <w:tab/>
        <w:t xml:space="preserve">                 </w:t>
      </w:r>
      <w:r>
        <w:rPr>
          <w:b/>
          <w:bCs/>
          <w:lang w:val="en-US"/>
        </w:rPr>
        <w:t>10</w:t>
      </w:r>
      <w:r>
        <w:rPr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en-US"/>
        </w:rPr>
        <w:t>3.</w:t>
      </w:r>
      <w:r>
        <w:rPr>
          <w:lang w:val="en-US"/>
        </w:rPr>
        <w:t xml:space="preserve"> Prema invaliditetu podnositelja prijave ili člana njegovog obiteljskog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>kućanstva navedenog u prijavi, ovisno o utvrđenom stupnju</w:t>
      </w:r>
    </w:p>
    <w:p>
      <w:pPr>
        <w:pStyle w:val="Normal"/>
        <w:spacing w:lineRule="auto" w:line="240" w:before="0" w:after="0"/>
        <w:rPr/>
      </w:pPr>
      <w:r>
        <w:rPr>
          <w:lang w:val="en-US"/>
        </w:rPr>
        <w:t>invaliditeta, za svaku osobu s utvrđenim invaliditetom pripada: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9611" w:type="dxa"/>
        <w:jc w:val="left"/>
        <w:tblInd w:w="-1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82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lang w:val="hr-HR"/>
              </w:rPr>
              <w:t>Kriterij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lang w:val="hr-HR"/>
              </w:rPr>
              <w:t>Broj bodova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hr-HR"/>
              </w:rPr>
              <w:t>20% do 50% invaliditeta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lang w:val="hr-HR"/>
              </w:rPr>
              <w:t>5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hr-HR"/>
              </w:rPr>
              <w:t>60% do 90% invaliditeta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lang w:val="hr-HR"/>
              </w:rPr>
              <w:t>10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hr-HR"/>
              </w:rPr>
              <w:t>100% invaliditeta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bCs/>
                <w:lang w:val="hr-HR"/>
              </w:rPr>
              <w:t>15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b/>
        </w:rPr>
        <w:t>4.</w:t>
      </w:r>
      <w:r>
        <w:rPr/>
        <w:t xml:space="preserve"> Samohrani roditelj  </w:t>
        <w:tab/>
        <w:tab/>
        <w:tab/>
        <w:tab/>
        <w:tab/>
        <w:tab/>
        <w:tab/>
        <w:tab/>
        <w:t xml:space="preserve">      </w:t>
      </w:r>
      <w:r>
        <w:rPr>
          <w:b/>
          <w:bCs/>
        </w:rPr>
        <w:t>5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lang w:val="hr-HR"/>
        </w:rPr>
        <w:t>5.</w:t>
      </w:r>
      <w:r>
        <w:rPr>
          <w:lang w:val="hr-HR"/>
        </w:rPr>
        <w:t xml:space="preserve"> Prebivalište na području Općine Negoslavci: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>- svi članovi obitelji navedeni u prijavi</w:t>
        <w:tab/>
        <w:tab/>
        <w:tab/>
        <w:tab/>
        <w:tab/>
        <w:tab/>
        <w:t xml:space="preserve">    10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 xml:space="preserve">- prijavitelj ili bračni/izvanbračni partner </w:t>
        <w:tab/>
        <w:tab/>
        <w:tab/>
        <w:tab/>
        <w:t xml:space="preserve">                              5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 xml:space="preserve">- bez prebivališta </w:t>
        <w:tab/>
        <w:tab/>
        <w:tab/>
        <w:tab/>
        <w:tab/>
        <w:tab/>
        <w:tab/>
        <w:tab/>
        <w:t xml:space="preserve">                  0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hr-HR"/>
        </w:rPr>
        <w:t>6.</w:t>
      </w:r>
      <w:r>
        <w:rPr>
          <w:lang w:val="hr-HR"/>
        </w:rPr>
        <w:t xml:space="preserve"> Trenutni stambeni status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>- podstanarstvo</w:t>
        <w:tab/>
        <w:tab/>
        <w:tab/>
        <w:tab/>
        <w:tab/>
        <w:tab/>
        <w:tab/>
        <w:tab/>
        <w:tab/>
        <w:t xml:space="preserve">    10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>- stanovanje kod roditelja</w:t>
        <w:tab/>
        <w:tab/>
        <w:tab/>
        <w:tab/>
        <w:tab/>
        <w:tab/>
        <w:tab/>
        <w:t xml:space="preserve">                  5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hr-HR"/>
        </w:rPr>
        <w:t>7.</w:t>
      </w:r>
      <w:r>
        <w:rPr>
          <w:lang w:val="hr-HR"/>
        </w:rPr>
        <w:t xml:space="preserve"> Socijalni status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>- zaposlena jedna punoljetna osoba</w:t>
        <w:tab/>
        <w:tab/>
        <w:tab/>
        <w:tab/>
        <w:tab/>
        <w:tab/>
        <w:t xml:space="preserve">                 10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>- zaposleni svi punoljetni članovi</w:t>
        <w:tab/>
        <w:tab/>
        <w:tab/>
        <w:tab/>
        <w:tab/>
        <w:tab/>
        <w:t xml:space="preserve">                   5</w:t>
      </w:r>
    </w:p>
    <w:p>
      <w:pPr>
        <w:pStyle w:val="Normal"/>
        <w:spacing w:lineRule="auto" w:line="240" w:before="0" w:after="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 w:before="0" w:after="0"/>
        <w:rPr/>
      </w:pPr>
      <w:r>
        <w:rPr>
          <w:b/>
          <w:lang w:val="hr-HR"/>
        </w:rPr>
        <w:t>8.</w:t>
      </w:r>
      <w:r>
        <w:rPr>
          <w:lang w:val="hr-HR"/>
        </w:rPr>
        <w:t xml:space="preserve"> Vlasništvo/suvlasništvo</w:t>
      </w:r>
    </w:p>
    <w:p>
      <w:pPr>
        <w:pStyle w:val="Normal"/>
        <w:spacing w:lineRule="auto" w:line="240" w:before="0" w:after="0"/>
        <w:rPr/>
      </w:pPr>
      <w:r>
        <w:rPr>
          <w:lang w:val="hr-HR"/>
        </w:rPr>
        <w:t>- status vlasništva/suvlasništva na nekretnini koja nije predmet potpore                        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4"/>
          <w:szCs w:val="24"/>
          <w:lang w:val="hr-HR"/>
        </w:rPr>
        <w:t>- nepostojanje vlasništva/suvlasništva                                                                             5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  <w:lang w:val="hr-HR"/>
        </w:rPr>
        <w:drawing>
          <wp:inline distT="0" distB="0" distL="0" distR="0">
            <wp:extent cx="5761355" cy="36830"/>
            <wp:effectExtent l="0" t="0" r="0" b="0"/>
            <wp:docPr id="2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Calibri"/>
          <w:color w:val="000000"/>
          <w:sz w:val="24"/>
          <w:szCs w:val="24"/>
          <w:lang w:val="hr-HR"/>
        </w:rPr>
        <w:t xml:space="preserve">Temeljem članka 10., stavka 1., točke 3. Zakona o poticanju razvoja malog gospodarstva („Narodne novine” broj 29/02, 63/07, 53/12, 56/13 i 121/16), </w:t>
      </w:r>
      <w:bookmarkStart w:id="6" w:name="_Hlk89344897"/>
      <w:r>
        <w:rPr>
          <w:rFonts w:cs="Calibri"/>
          <w:color w:val="000000"/>
          <w:sz w:val="24"/>
          <w:szCs w:val="24"/>
          <w:lang w:val="hr-HR"/>
        </w:rPr>
        <w:t>članka 32., stavka 2., točke 2. Statuta Općine Negoslavci („Službeni glasnik Općine Negoslavci” broj 1/21),</w:t>
      </w:r>
      <w:r>
        <w:rPr>
          <w:rFonts w:cs="Calibri"/>
          <w:sz w:val="24"/>
          <w:szCs w:val="24"/>
          <w:lang w:val="hr-HR"/>
        </w:rPr>
        <w:t xml:space="preserve"> Općinski načelnik dana 16.12.2022. godine donosi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  <w:bookmarkEnd w:id="6"/>
    </w:p>
    <w:p>
      <w:pPr>
        <w:pStyle w:val="Normal"/>
        <w:bidi w:val="0"/>
        <w:jc w:val="center"/>
        <w:rPr>
          <w:rFonts w:cs="Calibri"/>
          <w:b/>
          <w:b/>
          <w:bCs/>
          <w:sz w:val="24"/>
          <w:szCs w:val="24"/>
          <w:lang w:val="hr-HR"/>
        </w:rPr>
      </w:pPr>
      <w:r>
        <w:rPr>
          <w:rFonts w:cs="Calibri"/>
          <w:b/>
          <w:bCs/>
          <w:sz w:val="24"/>
          <w:szCs w:val="24"/>
          <w:lang w:val="hr-HR"/>
        </w:rPr>
        <w:t>PRAVILNIK</w:t>
      </w:r>
    </w:p>
    <w:p>
      <w:pPr>
        <w:pStyle w:val="Normal"/>
        <w:bidi w:val="0"/>
        <w:jc w:val="center"/>
        <w:rPr/>
      </w:pPr>
      <w:r>
        <w:rPr>
          <w:rFonts w:cs="Calibri"/>
          <w:b/>
          <w:bCs/>
          <w:sz w:val="24"/>
          <w:szCs w:val="24"/>
          <w:lang w:val="hr-HR"/>
        </w:rPr>
        <w:t>o poticanju gospodarskog razvoja Općine Negoslavci za 2</w:t>
      </w:r>
      <w:r>
        <w:rPr>
          <w:rFonts w:cs="Calibri"/>
          <w:b/>
          <w:bCs/>
          <w:color w:val="000000"/>
          <w:sz w:val="24"/>
          <w:szCs w:val="24"/>
          <w:lang w:val="hr-HR"/>
        </w:rPr>
        <w:t>022. godinu</w:t>
      </w:r>
    </w:p>
    <w:p>
      <w:pPr>
        <w:pStyle w:val="Normal"/>
        <w:bidi w:val="0"/>
        <w:jc w:val="center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OPĆE ODREDBE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1.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Ovim Pravilnikom utvrđuju se svrha i ciljevi Pravilnika, korisnici, nositelji potpore, mjere potpora, postupak dodjele sredstava, izvore sredstava, obveze korisnika sredstava i kontrola namjenskog utroška dodijeljenih sredstava te ostale odredbe bitne za provođenje.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Sa svrhom poticanja postojećeg i stimuliranja novog poslovanja, smanjenja broja nezaposlenih i realizacije projekata razvoja malog i srednjeg poduzetništva i obrtništva, Općina Negoslavci, na način i prema uvjetima utvrđenim ovim pravilnikom pomaže malim i srednjim poduzetnicima i obrtnicima u početnim fazama poslovanja, omogućuje povećanje zaposlenosti te stvara pozitivno okruženje za poduzetničku inicijativu.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KORISNICI POTPORE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2.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Korisnici ove potpore su fizičke osobe koje obavljaju registriranu djelatnost – obrti i pravne osobe - trgovačka društva, koja imaju sjedište na području Općine Negoslavci.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Calibri" w:cs="Calibri"/>
          <w:b/>
          <w:bCs/>
          <w:sz w:val="24"/>
          <w:szCs w:val="24"/>
          <w:lang w:val="hr-HR"/>
        </w:rPr>
        <w:t>Prihvatljivi korisnici</w:t>
      </w:r>
      <w:r>
        <w:rPr>
          <w:rFonts w:eastAsia="Calibri" w:cs="Calibri"/>
          <w:sz w:val="24"/>
          <w:szCs w:val="24"/>
          <w:lang w:val="hr-HR"/>
        </w:rPr>
        <w:t xml:space="preserve"> su oni koji ispunjavaju sljedeće uvjete: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prema Općini Negoslavci,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da su podmirili sve dospjele obveze po osnovi javnih davanja o kojima evidenciju vodi Porezna uprava.</w:t>
      </w:r>
    </w:p>
    <w:p>
      <w:pPr>
        <w:pStyle w:val="Normal"/>
        <w:bidi w:val="0"/>
        <w:ind w:left="360" w:right="0" w:hanging="0"/>
        <w:jc w:val="both"/>
        <w:rPr/>
      </w:pPr>
      <w:r>
        <w:rPr>
          <w:rFonts w:eastAsia="Times New Roman" w:cs="Times New Roman"/>
          <w:b/>
          <w:bCs/>
          <w:sz w:val="24"/>
          <w:szCs w:val="24"/>
          <w:lang w:val="hr-HR"/>
        </w:rPr>
        <w:t xml:space="preserve">      </w:t>
      </w:r>
      <w:r>
        <w:rPr>
          <w:rFonts w:eastAsia="Calibri" w:cs="Calibri"/>
          <w:b/>
          <w:bCs/>
          <w:sz w:val="24"/>
          <w:szCs w:val="24"/>
          <w:lang w:val="hr-HR"/>
        </w:rPr>
        <w:t>Neprihvatljivi korisnici: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u 2020. godini ostvarili poticaj prema Programu poticanja gospodarskog razvoja Općine Negoslavci 2020. godini,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koji su u 2021./22. godini ostvarili poticaj prema Pravilniku o poticanju gospodarskog razvoja Općine Negoslavci 2021. godini.</w:t>
      </w:r>
    </w:p>
    <w:p>
      <w:pPr>
        <w:pStyle w:val="Normal"/>
        <w:bidi w:val="0"/>
        <w:ind w:left="720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NOSITELJI POTPORE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3.</w:t>
      </w:r>
    </w:p>
    <w:p>
      <w:pPr>
        <w:pStyle w:val="Normal"/>
        <w:bidi w:val="0"/>
        <w:ind w:left="0" w:right="0"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provedbi Pravilnika o poticanju gospodarskog razvoja na području Općine Negoslavci u 2022. godini donosi Općinski načelnik.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provođenje odredbi ovog Pravilnika zadužuje se Povjerenstvo za provjeru administrativne ispravnosti i provedbu postupka te utvrđivanje prijedloga Odluke o dodjeli potpora i Povjerenstvo za rješavanje prigovora.</w:t>
      </w:r>
    </w:p>
    <w:p>
      <w:pPr>
        <w:pStyle w:val="Normal"/>
        <w:bidi w:val="0"/>
        <w:ind w:left="0" w:right="0" w:firstLine="709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Svako Povjerenstvo čine predsjednik i dva člana koje imenuje Općinski načelnik.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Povjerenstva će sve aktivnosti provoditi sukladno odredbama ovoga Pravilnika.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ab/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MJERE POTPORA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4.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Općina Negoslavci će u 2022. godini dodjeljivati potpore za sljedeće namjene: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1. Potpore za zapošljavanje i samozapošljavanje,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2. Potpore za osnivanje poduzeća i obrta,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Mjera 3.Potpore za izgradnju/rekonstrukciju/ i opremanje poslovnih objekata ili nabavku opreme za rad/proizvodnju,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Mjera 4. Potpore za kupovinu teretnih, dostavnih i drugih radnih vozila.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left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1. Potpore za zapošljavanje i samozapošljavanje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5.</w:t>
      </w:r>
    </w:p>
    <w:p>
      <w:pPr>
        <w:pStyle w:val="Normal"/>
        <w:bidi w:val="0"/>
        <w:jc w:val="both"/>
        <w:rPr/>
      </w:pPr>
      <w:r>
        <w:rPr>
          <w:rFonts w:cs="Calibri"/>
          <w:sz w:val="24"/>
          <w:szCs w:val="24"/>
          <w:lang w:val="hr-HR"/>
        </w:rPr>
        <w:tab/>
        <w:t xml:space="preserve">Potpora </w:t>
      </w:r>
      <w:r>
        <w:rPr>
          <w:rFonts w:cs="Calibri"/>
          <w:bCs/>
          <w:sz w:val="24"/>
          <w:szCs w:val="24"/>
          <w:lang w:val="hr-HR"/>
        </w:rPr>
        <w:t>za zapošljavanje i samozapošljavanje</w:t>
      </w:r>
      <w:r>
        <w:rPr>
          <w:rFonts w:cs="Calibri"/>
          <w:sz w:val="24"/>
          <w:szCs w:val="24"/>
          <w:lang w:val="hr-HR"/>
        </w:rPr>
        <w:t>, odnosno plaćanje obveznih doprinosa i dijela neto dohotka u iznosu od 2.050,00 KN, odnosno 272,00 EUR (</w:t>
      </w:r>
      <w:r>
        <w:rPr>
          <w:rFonts w:cs="Times New Roman"/>
          <w:sz w:val="24"/>
          <w:szCs w:val="24"/>
          <w:lang w:val="hr-HR"/>
        </w:rPr>
        <w:t>po fiksnom tečaju konverzije 1,00 EUR = 7,53450 HRK)</w:t>
      </w:r>
      <w:r>
        <w:rPr>
          <w:rFonts w:cs="Calibri"/>
          <w:sz w:val="24"/>
          <w:szCs w:val="24"/>
          <w:lang w:val="hr-HR"/>
        </w:rPr>
        <w:t xml:space="preserve"> na mjesečnoj razini od 24.600,00 KN, (dvadesetčetiritisućešestokuna), odnosno 3.264,00 EUR (tritisućedvjestošezdesetčetirieura) godišnje koja se isplaćuje u jednokratnom iznosu, ostvaruje se za: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zapošljavanje nezaposlene osobe,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samozapošljavanje.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ne smije smanjivati ukupan broj zaposlenih u razdoblju od 2 godine.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Korisnik sa osobom za koju traži potporu mora u pravilu imati sklopljen Ugovor o radu na neodređeno vrijeme. Ukoliko je Ugovor o radu sklopljen na određeno vrijeme onda mora biti zaključen na rok od najmanje 24 mjeseca.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priložiti: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osobne iskaznice osobe za koju se traži potpora,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Ugovora o radu/ Rješenje o upisu u nadležni registar,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 prijave u mirovinsko osiguranje,</w:t>
      </w:r>
    </w:p>
    <w:p>
      <w:pPr>
        <w:pStyle w:val="Normal"/>
        <w:numPr>
          <w:ilvl w:val="0"/>
          <w:numId w:val="6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Izjavu o broju zaposlenih na dan podnošenja Zahtjeva.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Mjera 2. Potpore za osnivanje trgovačkog društva i obrta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6.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 xml:space="preserve">Potporu u iznosu od 3.013,77 KN (tritisućeitrinaestkunaisedamdesetsedamlipa), 400,00 EUR (četiristotineeura) jednokratno, ostvaruje se za osnivanje trgovačkog društva ili otvaranje obrta sa upisom dana početka obavljanja djelatnosti.  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Trgovačko društvo ili obrt mora biti aktivno najmanje 2 godine od dana ostvarivanja potpore.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ab/>
        <w:t>Za ostvarivanje prava na potporu, uz zahtjev za potporu, korisnik mora priložiti Izvod iz  odgovarajućeg registra.</w:t>
      </w:r>
    </w:p>
    <w:p>
      <w:pPr>
        <w:pStyle w:val="Normal"/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sz w:val="24"/>
          <w:szCs w:val="24"/>
          <w:lang w:val="hr-HR"/>
        </w:rPr>
        <w:t xml:space="preserve">Mjera 3. </w:t>
      </w:r>
      <w:r>
        <w:rPr>
          <w:rFonts w:eastAsia="Calibri" w:cs="Calibri"/>
          <w:b/>
          <w:sz w:val="24"/>
          <w:szCs w:val="24"/>
          <w:lang w:val="hr-HR"/>
        </w:rPr>
        <w:t xml:space="preserve"> Potpore za izgradnju, rekonstrukciju i opremanje poslovnih objekata</w:t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7.</w:t>
      </w:r>
    </w:p>
    <w:p>
      <w:pPr>
        <w:pStyle w:val="Normal"/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cs="Calibri"/>
          <w:sz w:val="24"/>
          <w:szCs w:val="24"/>
          <w:lang w:val="hr-HR"/>
        </w:rPr>
        <w:t xml:space="preserve">Potpora u iznosu od najviše 15.069,00 KN (petnaesttisućašezdesetdevetkuna), odnosno 2000,00 EUR (dvijetisućeeura) ostvaruje se za izgradnju, rekonstrukciju odnosno opremanje objekata namijenjenih za obavljanje gospodarske djelatnosti, </w:t>
      </w:r>
    </w:p>
    <w:p>
      <w:pPr>
        <w:pStyle w:val="Normal"/>
        <w:bidi w:val="0"/>
        <w:jc w:val="both"/>
        <w:rPr/>
      </w:pPr>
      <w:r>
        <w:rPr>
          <w:rFonts w:cs="Calibri"/>
          <w:sz w:val="24"/>
          <w:szCs w:val="24"/>
          <w:lang w:val="hr-HR"/>
        </w:rPr>
        <w:tab/>
      </w:r>
      <w:r>
        <w:rPr>
          <w:rFonts w:eastAsia="Calibri" w:cs="Calibri"/>
          <w:sz w:val="24"/>
          <w:szCs w:val="24"/>
          <w:lang w:val="hr-HR"/>
        </w:rPr>
        <w:t>Za ostvarivanje prava na potporu, uz zahtjev korisnik mora priložiti:</w:t>
      </w:r>
    </w:p>
    <w:p>
      <w:pPr>
        <w:pStyle w:val="Normal"/>
        <w:numPr>
          <w:ilvl w:val="0"/>
          <w:numId w:val="7"/>
        </w:numPr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 xml:space="preserve">preslike ponuda ili </w:t>
      </w:r>
      <w:r>
        <w:rPr>
          <w:rFonts w:cs="Calibri"/>
          <w:sz w:val="24"/>
          <w:szCs w:val="24"/>
          <w:lang w:val="hr-HR"/>
        </w:rPr>
        <w:t>preslike računa za izvršene radove, nabavljenu opremu, izvršenu instalaciju opreme,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preslike dokaza o izvršenom plaćanju (izvadak o stanju transakcijskog računa na dan izvršenog plaćanja),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dokaz o vlasništvu odnosno korištenju poslovnih objekata i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fotografije izvršene investicije.</w:t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ind w:left="1068" w:right="0" w:hanging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</w:r>
    </w:p>
    <w:p>
      <w:pPr>
        <w:pStyle w:val="Normal"/>
        <w:bidi w:val="0"/>
        <w:jc w:val="both"/>
        <w:rPr/>
      </w:pPr>
      <w:r>
        <w:rPr>
          <w:rFonts w:cs="Calibri"/>
          <w:b/>
          <w:sz w:val="24"/>
          <w:szCs w:val="24"/>
          <w:lang w:val="hr-HR"/>
        </w:rPr>
        <w:t>Mjera 4.</w:t>
      </w:r>
      <w:r>
        <w:rPr>
          <w:rFonts w:cs="Calibri"/>
          <w:sz w:val="24"/>
          <w:szCs w:val="24"/>
          <w:lang w:val="hr-HR"/>
        </w:rPr>
        <w:t xml:space="preserve"> </w:t>
      </w:r>
      <w:r>
        <w:rPr>
          <w:rFonts w:cs="Calibri"/>
          <w:b/>
          <w:bCs/>
          <w:sz w:val="24"/>
          <w:szCs w:val="24"/>
          <w:lang w:val="hr-HR"/>
        </w:rPr>
        <w:t>Potpore za kupovinu teretnih, dostavnih, radnih vozila</w:t>
      </w:r>
    </w:p>
    <w:p>
      <w:pPr>
        <w:pStyle w:val="Normal"/>
        <w:bidi w:val="0"/>
        <w:jc w:val="center"/>
        <w:rPr>
          <w:rFonts w:cs="Calibri"/>
          <w:b/>
          <w:b/>
          <w:sz w:val="24"/>
          <w:szCs w:val="24"/>
          <w:lang w:val="hr-HR"/>
        </w:rPr>
      </w:pPr>
      <w:bookmarkStart w:id="7" w:name="_Hlk52896461"/>
      <w:bookmarkEnd w:id="7"/>
      <w:r>
        <w:rPr>
          <w:rFonts w:cs="Calibri"/>
          <w:b/>
          <w:sz w:val="24"/>
          <w:szCs w:val="24"/>
          <w:lang w:val="hr-HR"/>
        </w:rPr>
        <w:t>Članak 8.</w:t>
      </w:r>
    </w:p>
    <w:p>
      <w:pPr>
        <w:pStyle w:val="Normal"/>
        <w:bidi w:val="0"/>
        <w:jc w:val="both"/>
        <w:rPr/>
      </w:pPr>
      <w:bookmarkStart w:id="8" w:name="_Hlk528964611"/>
      <w:bookmarkEnd w:id="8"/>
      <w:r>
        <w:rPr>
          <w:rFonts w:cs="Calibri"/>
          <w:bCs/>
          <w:sz w:val="24"/>
          <w:szCs w:val="24"/>
          <w:lang w:val="hr-HR"/>
        </w:rPr>
        <w:tab/>
        <w:t xml:space="preserve">Potpora u iznosu od najviše </w:t>
      </w:r>
      <w:bookmarkStart w:id="9" w:name="_Hlk122076365"/>
      <w:r>
        <w:rPr>
          <w:rFonts w:cs="Calibri"/>
          <w:bCs/>
          <w:sz w:val="24"/>
          <w:szCs w:val="24"/>
          <w:lang w:val="hr-HR"/>
        </w:rPr>
        <w:t xml:space="preserve">24.864,00 KN (dvadesetčetiritisućeosamstošezdesetčetirikune), odnosno 3300,00 EU (tritisućetristoeura) </w:t>
      </w:r>
      <w:bookmarkEnd w:id="9"/>
      <w:r>
        <w:rPr>
          <w:rFonts w:cs="Calibri"/>
          <w:bCs/>
          <w:sz w:val="24"/>
          <w:szCs w:val="24"/>
          <w:lang w:val="hr-HR"/>
        </w:rPr>
        <w:t xml:space="preserve">ostvaruje se za kupovinu teretnih, dostavnih i drugih radnih vozila namijenjenih isključivo za obavljanje registrirane poslovne djelatnosti. </w:t>
      </w:r>
    </w:p>
    <w:p>
      <w:pPr>
        <w:pStyle w:val="Normal"/>
        <w:bidi w:val="0"/>
        <w:ind w:left="0" w:right="0" w:firstLine="709"/>
        <w:jc w:val="left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Za ostvarivanje prava na potporu, uz Zahtjev korisnik mora priložiti :</w:t>
      </w:r>
    </w:p>
    <w:p>
      <w:pPr>
        <w:pStyle w:val="Normal"/>
        <w:bidi w:val="0"/>
        <w:ind w:left="0" w:right="0" w:firstLine="709"/>
        <w:jc w:val="left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  <w:t>- preslik Rješenja o upisu djelatnosti u nadležni registar i</w:t>
      </w:r>
    </w:p>
    <w:p>
      <w:pPr>
        <w:pStyle w:val="Normal"/>
        <w:bidi w:val="0"/>
        <w:ind w:left="0" w:right="0" w:firstLine="709"/>
        <w:jc w:val="left"/>
        <w:rPr/>
      </w:pPr>
      <w:r>
        <w:rPr>
          <w:rFonts w:cs="Calibri"/>
          <w:bCs/>
          <w:sz w:val="24"/>
          <w:szCs w:val="24"/>
          <w:lang w:val="hr-HR"/>
        </w:rPr>
        <w:t>- presliku računa ili ugovor o kupoprodaji vozila</w:t>
      </w:r>
      <w:r>
        <w:rPr>
          <w:rFonts w:eastAsia="Calibri" w:cs="Calibri"/>
          <w:bCs/>
          <w:sz w:val="24"/>
          <w:szCs w:val="24"/>
          <w:lang w:val="hr-HR"/>
        </w:rPr>
        <w:t>/ presliku ponude za nabavku vozila</w:t>
      </w:r>
    </w:p>
    <w:p>
      <w:pPr>
        <w:pStyle w:val="Normal"/>
        <w:bidi w:val="0"/>
        <w:ind w:left="0" w:right="0" w:firstLine="709"/>
        <w:jc w:val="lef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dokaz o izvršenom plaćanju,</w:t>
      </w:r>
    </w:p>
    <w:p>
      <w:pPr>
        <w:pStyle w:val="Normal"/>
        <w:bidi w:val="0"/>
        <w:ind w:left="0" w:right="0" w:firstLine="709"/>
        <w:jc w:val="left"/>
        <w:rPr>
          <w:rFonts w:eastAsia="Calibri" w:cs="Calibri"/>
          <w:bCs/>
          <w:sz w:val="24"/>
          <w:szCs w:val="24"/>
          <w:lang w:val="hr-HR"/>
        </w:rPr>
      </w:pPr>
      <w:r>
        <w:rPr>
          <w:rFonts w:eastAsia="Calibri" w:cs="Calibri"/>
          <w:bCs/>
          <w:sz w:val="24"/>
          <w:szCs w:val="24"/>
          <w:lang w:val="hr-HR"/>
        </w:rPr>
        <w:t>- presliku prometne dozvole koja glasi na podnositelja zahtjeva.</w:t>
      </w:r>
    </w:p>
    <w:p>
      <w:pPr>
        <w:pStyle w:val="Normal"/>
        <w:bidi w:val="0"/>
        <w:jc w:val="both"/>
        <w:rPr>
          <w:rFonts w:cs="Calibri"/>
          <w:bCs/>
          <w:sz w:val="24"/>
          <w:szCs w:val="24"/>
          <w:lang w:val="hr-HR"/>
        </w:rPr>
      </w:pPr>
      <w:r>
        <w:rPr>
          <w:rFonts w:cs="Calibri"/>
          <w:bCs/>
          <w:sz w:val="24"/>
          <w:szCs w:val="24"/>
          <w:lang w:val="hr-HR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POTREBNA DOKUMENTACIJA I POSTUPAK DODJELE POTPORE</w:t>
      </w:r>
    </w:p>
    <w:p>
      <w:pPr>
        <w:pStyle w:val="Normal"/>
        <w:bidi w:val="0"/>
        <w:ind w:left="3916" w:right="0" w:firstLine="338"/>
        <w:jc w:val="left"/>
        <w:rPr>
          <w:rFonts w:cs="Calibri"/>
          <w:b/>
          <w:b/>
          <w:sz w:val="24"/>
          <w:szCs w:val="24"/>
          <w:lang w:val="hr-HR"/>
        </w:rPr>
      </w:pPr>
      <w:r>
        <w:rPr>
          <w:rFonts w:cs="Calibri"/>
          <w:b/>
          <w:sz w:val="24"/>
          <w:szCs w:val="24"/>
          <w:lang w:val="hr-HR"/>
        </w:rPr>
        <w:t>Članak 9.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Potpore se dodjeljuju na temelju podnesenog zahtjeva uz sljedeću priloženu dokumentaciju 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Popunjeni obrazac Zahtjeva za potporu,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osobne iskaznice - za fizičke osobe,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Presliku dokaza o upisu u odgovarajući registar - za trgovačka društva i obrte,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Potvrdu Porezne uprave o podmirenim obvezama s osnove javnih davanja,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Presliku kartice žiro računa,</w:t>
      </w:r>
    </w:p>
    <w:p>
      <w:pPr>
        <w:pStyle w:val="Normal"/>
        <w:numPr>
          <w:ilvl w:val="0"/>
          <w:numId w:val="7"/>
        </w:numPr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Druge dokumente propisane za određene mjere potpore.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Za provedbu ovog Pravilnika raspisat će se Javni poziv..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Javni poziv raspisuje Općinski načelnik. 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eastAsia="Calibri" w:cs="Calibri"/>
          <w:sz w:val="24"/>
          <w:szCs w:val="24"/>
          <w:lang w:val="hr-HR"/>
        </w:rPr>
        <w:t xml:space="preserve">Zahtjevi za mjere potpore objavljuju se na Internet stranici Općine Negoslavci </w:t>
      </w:r>
      <w:hyperlink r:id="rId5">
        <w:r>
          <w:rPr>
            <w:rStyle w:val="Internetskapoveznica"/>
            <w:rFonts w:eastAsia="Calibri" w:cs="Calibri"/>
            <w:color w:val="0563C1"/>
            <w:sz w:val="24"/>
            <w:szCs w:val="24"/>
            <w:lang w:val="hr-HR"/>
          </w:rPr>
          <w:t>www.opcina-negoslavci.hr</w:t>
        </w:r>
      </w:hyperlink>
      <w:r>
        <w:rPr>
          <w:rFonts w:eastAsia="Calibri" w:cs="Calibri"/>
          <w:sz w:val="24"/>
          <w:szCs w:val="24"/>
          <w:lang w:val="hr-HR"/>
        </w:rPr>
        <w:t xml:space="preserve"> a mogu se preuzeti i u Jedinstvenom upravnom odjelu Općine Negoslavci.</w:t>
      </w:r>
    </w:p>
    <w:p>
      <w:pPr>
        <w:pStyle w:val="Normal"/>
        <w:bidi w:val="0"/>
        <w:ind w:left="0" w:right="0" w:firstLine="708"/>
        <w:jc w:val="both"/>
        <w:rPr/>
      </w:pPr>
      <w:r>
        <w:rPr>
          <w:color w:val="000000"/>
          <w:sz w:val="24"/>
          <w:szCs w:val="24"/>
        </w:rPr>
        <w:t xml:space="preserve">Javni poziv bit će otvoren </w:t>
      </w:r>
      <w:r>
        <w:rPr>
          <w:color w:val="000000"/>
          <w:sz w:val="24"/>
          <w:szCs w:val="24"/>
          <w:lang w:val="hr-HR"/>
        </w:rPr>
        <w:t>15 dana od dana objave na internet stranici Općini Negoslavci.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Nepotpune i nepravovremene prijave neće se razmatrati.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Ukoliko dvije ili više prijava imaju isti broj utvrđenih bodova, prednost za ostvarivanje prava ove Mjere ima korisnik potpore koji je prije predao dokumentaciju.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U slučaju eventualne potrebe, Povjerenstvo za provjeru administrativne ispravnosti i provedbu postupka te utvrđivanja prijedloga Odluke o dodjeli potpora će tražiti nadopunu dokumentacije koju je prijavitelj dužan dostaviti u roku od 5 radnih dana od dana primitka Zahtjeva za nadopunu. Ukoliko prijavitelj ne dostavi traženu dokumentaciju u navedenom roku, njegova se prijava neće razmatrati. 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 xml:space="preserve">Povjerenstvo za provjeru administrativne ispravnosti i provedbu postupka te utvrđivanja  prijedloga Odluke nakon provedenog i okončanog postupka, prijedlog Odluke o dodjeli sredstava potpore dostavlja Općinskom načelniku  na verificiranje. 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U postupku utvrđivanja prijedloga Odluke na sjednici se razmatra Zapisnik o javnom otvaranju zahtjeva, koji potpisuju svi članovi Povjerenstva.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Prijedlog Odluke potpisuje Predsjednik Povjerenstva za provjeru administrativne ispravnosti i provedbu postupka te utvrđivanje prijedloga Odluke o dodjeli potpora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</w:r>
    </w:p>
    <w:p>
      <w:pPr>
        <w:pStyle w:val="Normal"/>
        <w:bidi w:val="0"/>
        <w:jc w:val="center"/>
        <w:rPr>
          <w:rFonts w:eastAsia="Calibri" w:cs="Calibri"/>
          <w:b/>
          <w:b/>
          <w:bCs/>
          <w:sz w:val="24"/>
          <w:szCs w:val="24"/>
          <w:lang w:val="hr-HR"/>
        </w:rPr>
      </w:pPr>
      <w:r>
        <w:rPr>
          <w:rFonts w:eastAsia="Calibri" w:cs="Calibri"/>
          <w:b/>
          <w:bCs/>
          <w:sz w:val="24"/>
          <w:szCs w:val="24"/>
          <w:lang w:val="hr-HR"/>
        </w:rPr>
        <w:t>Članak 10.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Odluku o dodjeli potpore donosi Općinski načelnik na prijedlog Povjerenstva za provjeru administrativne ispravnosti i provedbu postupka te utvrđivanja prijedloga Odluke o dodjeli potpora.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>Odluka se objavljuje na Internet stranici Općine Negoslavci najkasnije u roku od 15 dana od dana njezinog donošenja.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Prijavitelji koji nisu ostvarili pravo na dodjelu potpore mogu u roku od 5 dana od dana primitka pisane Obavijesti o tome podnijeti prigovor Povjerenstvu za rješavanje prigovora, koji u roku od 8 dana odlučuje o istome.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ab/>
        <w:t xml:space="preserve">Po konačnosti Odluke o dodjeli potpore Općinski načelnik i korisnik sredstava zaključuju Ugovor o dodjeli potpore kojim se pobliže određuju prava i obveze obiju ugovornih strana. Potpore se po zaključenju Ugovora isplaćuju na žiro račun korisnika. 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potpore ne smije otuđiti predmet potpore niti mu promijeniti namjenu te ga je dužan održavati u svrsi i funkciji najmanje 2 godine od datuma isplate potpore.</w:t>
      </w:r>
    </w:p>
    <w:p>
      <w:pPr>
        <w:pStyle w:val="Normal"/>
        <w:bidi w:val="0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11.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Korisnik je obvezan dodijeljena sredstva koristiti isključivo za realizaciju mjere za koju su sredstva dodijeljena.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Korisnik potpore dužan je omogućiti davatelju potpore kontrolu namjenskog utroška dobivenih sredstava. 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 xml:space="preserve">Stručnu i administrativnu kontrolu dodjele potpora provodi Jedinstveni upravni odjel Općine Negoslavci. </w:t>
      </w:r>
    </w:p>
    <w:p>
      <w:pPr>
        <w:pStyle w:val="Normal"/>
        <w:bidi w:val="0"/>
        <w:ind w:left="0" w:right="0" w:firstLine="708"/>
        <w:jc w:val="both"/>
        <w:rPr>
          <w:rFonts w:cs="Calibri"/>
          <w:sz w:val="24"/>
          <w:szCs w:val="24"/>
          <w:lang w:val="hr-HR"/>
        </w:rPr>
      </w:pPr>
      <w:r>
        <w:rPr>
          <w:rFonts w:cs="Calibri"/>
          <w:sz w:val="24"/>
          <w:szCs w:val="24"/>
          <w:lang w:val="hr-HR"/>
        </w:rPr>
        <w:t>Ukoliko je korisnik potpore priložio neistinitu dokumentaciju ili prijavljeno stanje ne odgovara stvarnom stanju, korisnik dobivena sredstva mora vratiti u proračun Općine Negoslavci, te će biti isključen iz svih potpora Općine Negoslavci u narednih pet (5) godina.</w:t>
      </w:r>
    </w:p>
    <w:p>
      <w:pPr>
        <w:pStyle w:val="Normal"/>
        <w:bidi w:val="0"/>
        <w:ind w:left="0" w:right="0" w:firstLine="708"/>
        <w:jc w:val="both"/>
        <w:rPr/>
      </w:pPr>
      <w:r>
        <w:rPr>
          <w:sz w:val="24"/>
          <w:szCs w:val="24"/>
        </w:rPr>
        <w:t xml:space="preserve">Kao jamstvo za uredno ispunjenje odredbi iz Pravilnika korisnik potpore je prije zaključivanja Ugovora o dodjeli potpore obvezan </w:t>
      </w:r>
      <w:r>
        <w:rPr>
          <w:sz w:val="24"/>
          <w:szCs w:val="24"/>
          <w:lang w:val="hr-HR"/>
        </w:rPr>
        <w:t>Jedinstvenom upravnom odjelu Općine Negoslavci</w:t>
      </w:r>
      <w:r>
        <w:rPr>
          <w:sz w:val="24"/>
          <w:szCs w:val="24"/>
        </w:rPr>
        <w:t xml:space="preserve"> dostaviti solemniziranu bjanko zadužnicu na iznos odobrene potpore.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Korisniku potpore koji je dostavio bjanko zadužnicu kao instrument osiguranja neiskorištena bjanko zadužnica se vraća po proteku 5 godina od dana realiziranja subvencije.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ZAVRŠNE ODREDBE</w:t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12.</w:t>
      </w:r>
    </w:p>
    <w:p>
      <w:pPr>
        <w:pStyle w:val="Normal"/>
        <w:bidi w:val="0"/>
        <w:ind w:left="0" w:right="0" w:firstLine="708"/>
        <w:jc w:val="both"/>
        <w:rPr/>
      </w:pPr>
      <w:r>
        <w:rPr>
          <w:rFonts w:cs="Calibri"/>
          <w:iCs/>
          <w:sz w:val="24"/>
          <w:szCs w:val="24"/>
          <w:lang w:val="hr-HR"/>
        </w:rPr>
        <w:t xml:space="preserve">Najviši ukupni iznos potpore iz proračuna Općine Negoslavci za tekuću godinu, kojeg korisnik potpore može ostvariti po svim osnovama ovog Pravilnika je </w:t>
      </w:r>
      <w:r>
        <w:rPr>
          <w:rFonts w:cs="Calibri"/>
          <w:bCs/>
          <w:sz w:val="24"/>
          <w:szCs w:val="24"/>
          <w:lang w:val="hr-HR"/>
        </w:rPr>
        <w:t xml:space="preserve">24.864,00 KN (dvadesetčetiritisućeosamstošezdesetčetirikune), odnosno 3300,00 EUR (tritisućetristoeura) </w:t>
      </w:r>
      <w:r>
        <w:rPr>
          <w:rFonts w:cs="Calibri"/>
          <w:sz w:val="24"/>
          <w:szCs w:val="24"/>
          <w:lang w:val="hr-HR"/>
        </w:rPr>
        <w:t>Općinski poticaj za isti trošak ili istu jedinicu proizvodnje se može ostvariti samo jednom, a isplaćuje se jednokratno.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13.</w:t>
      </w:r>
    </w:p>
    <w:p>
      <w:pPr>
        <w:pStyle w:val="Normal"/>
        <w:bidi w:val="0"/>
        <w:jc w:val="both"/>
        <w:rPr/>
      </w:pPr>
      <w:r>
        <w:rPr>
          <w:rFonts w:eastAsia="Calibri" w:cs="Calibri"/>
          <w:sz w:val="24"/>
          <w:szCs w:val="24"/>
          <w:lang w:val="hr-HR"/>
        </w:rPr>
        <w:tab/>
      </w:r>
      <w:r>
        <w:rPr>
          <w:rFonts w:eastAsia="Calibri"/>
          <w:sz w:val="24"/>
          <w:szCs w:val="24"/>
          <w:lang w:val="hr-HR"/>
        </w:rPr>
        <w:t>Financijska sredstva za provedbu ovog Pravilnika planirana su u proračunu Općine Negoslavci za 2022. godinu u iznosu od 150.000,00 KN, odnosno 19.908.42 EUR.</w:t>
      </w:r>
    </w:p>
    <w:p>
      <w:pPr>
        <w:pStyle w:val="Normal"/>
        <w:bidi w:val="0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</w:r>
    </w:p>
    <w:p>
      <w:pPr>
        <w:pStyle w:val="Normal"/>
        <w:bidi w:val="0"/>
        <w:jc w:val="center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>Članak 14.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>
          <w:rFonts w:eastAsia="Calibri" w:cs="Calibri"/>
          <w:sz w:val="24"/>
          <w:szCs w:val="24"/>
          <w:lang w:val="hr-HR"/>
        </w:rPr>
        <w:t>Ovaj Pravilnik stupa na snagu slijedećeg dana od dana objave u Službenom glasniku Općine Negoslavci.</w:t>
      </w:r>
    </w:p>
    <w:p>
      <w:pPr>
        <w:pStyle w:val="Normal"/>
        <w:bidi w:val="0"/>
        <w:ind w:left="0" w:right="0" w:firstLine="708"/>
        <w:jc w:val="both"/>
        <w:rPr>
          <w:rFonts w:eastAsia="Calibri" w:cs="Calibri"/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  <w:lang w:val="hr-HR"/>
        </w:rPr>
        <w:t>KLASA: 300-01/22-01/01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  <w:lang w:val="hr-HR"/>
        </w:rPr>
        <w:t>URBROJ: 2196-19-01-22-01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sz w:val="24"/>
          <w:szCs w:val="24"/>
          <w:lang w:val="hr-HR"/>
        </w:rPr>
        <w:t>Negoslavci, 16.12.2022. godine</w:t>
      </w:r>
    </w:p>
    <w:p>
      <w:pPr>
        <w:pStyle w:val="Normal"/>
        <w:bidi w:val="0"/>
        <w:jc w:val="right"/>
        <w:rPr>
          <w:rFonts w:eastAsia="Calibri" w:cs="Calibri"/>
          <w:b/>
          <w:b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</w:r>
    </w:p>
    <w:p>
      <w:pPr>
        <w:pStyle w:val="Normal"/>
        <w:bidi w:val="0"/>
        <w:jc w:val="center"/>
        <w:rPr/>
      </w:pPr>
      <w:r>
        <w:rPr>
          <w:rFonts w:eastAsia="Calibri" w:cs="Calibri"/>
          <w:b/>
          <w:sz w:val="24"/>
          <w:szCs w:val="24"/>
          <w:lang w:val="hr-HR"/>
        </w:rPr>
        <w:t>OPĆINSKI NAČELNIK</w:t>
      </w:r>
    </w:p>
    <w:p>
      <w:pPr>
        <w:pStyle w:val="Normal"/>
        <w:bidi w:val="0"/>
        <w:jc w:val="center"/>
        <w:rPr/>
      </w:pPr>
      <w:r>
        <w:rPr>
          <w:rFonts w:eastAsia="Calibri" w:cs="Calibri"/>
          <w:bCs/>
          <w:sz w:val="24"/>
          <w:szCs w:val="24"/>
          <w:lang w:val="hr-HR"/>
        </w:rPr>
        <w:t>Dušan Jeckov</w:t>
      </w:r>
    </w:p>
    <w:p>
      <w:pPr>
        <w:pStyle w:val="Normal"/>
        <w:bidi w:val="0"/>
        <w:jc w:val="center"/>
        <w:rPr/>
      </w:pPr>
      <w:r>
        <w:rPr>
          <w:rFonts w:eastAsia="Calibri" w:cs="Calibri"/>
          <w:bCs/>
          <w:sz w:val="24"/>
          <w:szCs w:val="24"/>
          <w:lang w:val="hr-HR"/>
        </w:rPr>
        <w:drawing>
          <wp:inline distT="0" distB="0" distL="0" distR="0">
            <wp:extent cx="5761355" cy="36830"/>
            <wp:effectExtent l="0" t="0" r="0" b="0"/>
            <wp:docPr id="3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right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</w:t>
      </w:r>
    </w:p>
    <w:p>
      <w:pPr>
        <w:pStyle w:val="Normal"/>
        <w:bidi w:val="0"/>
        <w:jc w:val="left"/>
        <w:rPr>
          <w:sz w:val="24"/>
          <w:szCs w:val="24"/>
          <w:lang w:val="hr-HR"/>
        </w:rPr>
      </w:pPr>
      <w:r>
        <w:rPr/>
      </w:r>
    </w:p>
    <w:p>
      <w:pPr>
        <w:pStyle w:val="Normal"/>
        <w:bidi w:val="0"/>
        <w:jc w:val="both"/>
        <w:rPr>
          <w:b/>
          <w:b/>
          <w:bCs/>
          <w:u w:val="single"/>
        </w:rPr>
      </w:pPr>
      <w:r>
        <w:rPr/>
      </w:r>
    </w:p>
    <w:sectPr>
      <w:headerReference w:type="default" r:id="rId7"/>
      <w:type w:val="nextPage"/>
      <w:pgSz w:w="11906" w:h="16838"/>
      <w:pgMar w:left="1134" w:right="1134" w:gutter="0" w:header="1134" w:top="19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  <w:t xml:space="preserve">Broj </w:t>
    </w:r>
    <w:r>
      <w:rPr>
        <w:rFonts w:eastAsia="Times New Roman" w:cs="Times New Roman"/>
        <w:szCs w:val="24"/>
        <w:u w:val="single"/>
        <w:lang w:val="en-AU" w:eastAsia="hr-HR"/>
      </w:rPr>
      <w:t>7.</w:t>
    </w:r>
    <w:r>
      <w:rPr>
        <w:rFonts w:eastAsia="Times New Roman" w:cs="Times New Roman"/>
        <w:szCs w:val="24"/>
        <w:u w:val="single"/>
        <w:lang w:val="en-AU" w:eastAsia="hr-HR"/>
      </w:rPr>
      <w:tab/>
      <w:t xml:space="preserve">                                           “SLUŽBENI GLASNIK”                    </w:t>
    </w:r>
    <w:r>
      <w:rPr>
        <w:rFonts w:eastAsia="Times New Roman" w:cs="Times New Roman"/>
        <w:szCs w:val="24"/>
        <w:u w:val="single"/>
        <w:lang w:val="hr-HR" w:eastAsia="hr-HR"/>
      </w:rPr>
      <w:t>Stranica</w:t>
    </w:r>
    <w:r>
      <w:rPr>
        <w:rFonts w:eastAsia="Times New Roman" w:cs="Times New Roman"/>
        <w:szCs w:val="24"/>
        <w:u w:val="single"/>
        <w:lang w:val="en-AU" w:eastAsia="hr-HR"/>
      </w:rPr>
      <w:t xml:space="preserve"> </w:t>
    </w:r>
    <w:r>
      <w:rPr>
        <w:rFonts w:eastAsia="Times New Roman" w:cs="Times New Roman"/>
        <w:szCs w:val="24"/>
        <w:u w:val="single"/>
        <w:lang w:val="en-AU" w:eastAsia="hr-HR"/>
      </w:rPr>
      <w:fldChar w:fldCharType="begin"/>
    </w:r>
    <w:r>
      <w:rPr>
        <w:u w:val="single"/>
        <w:szCs w:val="24"/>
        <w:rFonts w:eastAsia="Times New Roman" w:cs="Times New Roman"/>
        <w:lang w:val="en-AU" w:eastAsia="hr-HR"/>
      </w:rPr>
      <w:instrText xml:space="preserve"> PAGE </w:instrText>
    </w:r>
    <w:r>
      <w:rPr>
        <w:u w:val="single"/>
        <w:szCs w:val="24"/>
        <w:rFonts w:eastAsia="Times New Roman" w:cs="Times New Roman"/>
        <w:lang w:val="en-AU" w:eastAsia="hr-HR"/>
      </w:rPr>
      <w:fldChar w:fldCharType="separate"/>
    </w:r>
    <w:r>
      <w:rPr>
        <w:u w:val="single"/>
        <w:szCs w:val="24"/>
        <w:rFonts w:eastAsia="Times New Roman" w:cs="Times New Roman"/>
        <w:lang w:val="en-AU" w:eastAsia="hr-HR"/>
      </w:rPr>
      <w:t>12</w:t>
    </w:r>
    <w:r>
      <w:rPr>
        <w:u w:val="single"/>
        <w:szCs w:val="24"/>
        <w:rFonts w:eastAsia="Times New Roman" w:cs="Times New Roman"/>
        <w:lang w:val="en-AU" w:eastAsia="hr-HR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8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qFormat/>
    <w:pPr>
      <w:widowControl w:val="false"/>
      <w:ind w:left="358" w:hanging="0"/>
      <w:outlineLvl w:val="0"/>
    </w:pPr>
    <w:rPr>
      <w:rFonts w:eastAsia="Times New Roman" w:cs="Times New Roman"/>
      <w:b/>
      <w:bCs/>
      <w:sz w:val="32"/>
      <w:szCs w:val="32"/>
      <w:lang w:val="hr-HR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Zaglavljeipodnoje"/>
    <w:pPr/>
    <w:rPr/>
  </w:style>
  <w:style w:type="paragraph" w:styleId="Podnoje">
    <w:name w:val="Footer"/>
    <w:basedOn w:val="Zaglavljeipodnoj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pcina.negoslavci@gmail.com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www.opcina-zakanje.hr/" TargetMode="Externa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LibreOffice/7.4.1.2$Windows_X86_64 LibreOffice_project/3c58a8f3a960df8bc8fd77b461821e42c061c5f0</Application>
  <AppVersion>15.0000</AppVersion>
  <Pages>12</Pages>
  <Words>3121</Words>
  <Characters>19500</Characters>
  <CharactersWithSpaces>23165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2022-12-16T12:26:07Z</dcterms:created>
  <dc:creator/>
  <dc:description/>
  <dc:language>hr-HR</dc:language>
  <cp:lastModifiedBy/>
  <dcterms:modified xsi:type="dcterms:W3CDTF">2022-12-19T11:09:56Z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