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KLASA: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400-01/22-</w:t>
      </w:r>
      <w:r>
        <w:rPr>
          <w:rFonts w:eastAsia="Calibri" w:cs="Times New Roman"/>
          <w:sz w:val="22"/>
          <w:szCs w:val="22"/>
          <w:lang w:val="hr-HR"/>
        </w:rPr>
        <w:t>01/01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URBROJ: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2196-19-02-22-1</w:t>
      </w:r>
      <w:r>
        <w:rPr>
          <w:rFonts w:eastAsia="Calibri" w:cs="Times New Roman"/>
          <w:color w:val="000000"/>
          <w:sz w:val="22"/>
          <w:szCs w:val="22"/>
          <w:lang w:val="hr-HR"/>
        </w:rPr>
        <w:t>7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Negoslavci,</w:t>
      </w:r>
      <w:r>
        <w:rPr>
          <w:rFonts w:eastAsia="Calibri" w:cs="Times New Roman"/>
          <w:sz w:val="22"/>
          <w:szCs w:val="22"/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Na temelju članka 19., stavka 1., točke 2. Statuta Općine Negoslavci („Službeni glasnik Općine Negoslavci” broj 1/21), Općinsko vijeće Općine Negoslavci na svojoj redovnoj sjednici održanoj dana 27.12.2022. godine donosi</w:t>
      </w:r>
    </w:p>
    <w:p>
      <w:pPr>
        <w:pStyle w:val="Normal"/>
        <w:bidi w:val="0"/>
        <w:jc w:val="left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bookmarkStart w:id="0" w:name="_Toc62727867"/>
      <w:r>
        <w:rPr>
          <w:rFonts w:eastAsia="Calibri" w:cs="Times New Roman"/>
          <w:b/>
          <w:sz w:val="22"/>
          <w:szCs w:val="22"/>
          <w:lang w:val="hr-HR"/>
        </w:rPr>
        <w:t>Program financiranja udruga i općedruštvenih djelatnosti na području Općine Negoslavci za 2023. godinu</w:t>
      </w:r>
      <w:bookmarkEnd w:id="0"/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</w:t>
      </w:r>
    </w:p>
    <w:p>
      <w:pPr>
        <w:pStyle w:val="Normal"/>
        <w:widowControl w:val="false"/>
        <w:suppressAutoHyphens w:val="true"/>
        <w:bidi w:val="0"/>
        <w:spacing w:before="0" w:after="1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>Temeljem odredaba ovoga Programa, iz proračuna Općine Negoslavci u 2023 godini financirat će se  udruge i ostali subjekti koji se općedruštvenim djelatnostima bave kao svojom osnovnom djelatnošću na području Općine Negoslavci, imaju korisnike sa područja Općine Negoslavci ili imaju sjedište na području Općine Negoslavci.</w:t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ab/>
        <w:t>Sredstva osigurana u Proračunu Općine Negoslavci za 2023. godinu raspodijelit će se udrugama i zajednicama od posebnog interesa, kako slijedi (po fiksnom tečaju konverzije 1 EUR=7,53450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Zajedničko vijeće općina </w:t>
        <w:tab/>
        <w:tab/>
        <w:tab/>
        <w:tab/>
        <w:tab/>
        <w:t xml:space="preserve">            40.000,00 KN/5.308,91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Vjerske zajednice (kapitalne i tekuće donacije) </w:t>
        <w:tab/>
        <w:t xml:space="preserve">   </w:t>
        <w:tab/>
        <w:t xml:space="preserve">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175.000,00</w:t>
      </w:r>
      <w:r>
        <w:rPr>
          <w:rFonts w:eastAsia="Calibri" w:cs="Times New Roman"/>
          <w:color w:val="C9211E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KN/23.226,49 E</w:t>
      </w:r>
      <w:r>
        <w:rPr>
          <w:rFonts w:eastAsia="Calibri" w:cs="Times New Roman"/>
          <w:sz w:val="22"/>
          <w:szCs w:val="22"/>
          <w:lang w:val="hr-HR"/>
        </w:rPr>
        <w:t>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Kulturne manifestacije na području općine </w:t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LAG Srijem</w:t>
        <w:tab/>
        <w:tab/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nacionalnim manjinama</w:t>
        <w:tab/>
        <w:tab/>
        <w:tab/>
        <w:t xml:space="preserve">            35.000,00 KN/4.645,30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Glas potrošača</w:t>
        <w:tab/>
        <w:tab/>
        <w:tab/>
        <w:tab/>
        <w:tab/>
        <w:t xml:space="preserve">                 2.000,00 KN/265,45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za U</w:t>
      </w:r>
      <w:r>
        <w:rPr>
          <w:rFonts w:eastAsia="Andale Sans UI" w:cs="Times New Roman"/>
          <w:kern w:val="2"/>
          <w:sz w:val="22"/>
          <w:szCs w:val="22"/>
          <w:lang w:val="pl-PL" w:eastAsia="zh-CN"/>
        </w:rPr>
        <w:t xml:space="preserve">druge na osnovu javnog poziva  </w:t>
        <w:tab/>
        <w:t xml:space="preserve">                     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zh-CN"/>
        </w:rPr>
        <w:t>645</w:t>
      </w:r>
      <w:r>
        <w:rPr>
          <w:rFonts w:eastAsia="Calibri" w:cs="Times New Roman"/>
          <w:color w:val="000000"/>
          <w:sz w:val="22"/>
          <w:szCs w:val="22"/>
          <w:lang w:val="hr-HR"/>
        </w:rPr>
        <w:t>.000,00 KN/85.606,21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donacija ostalim neprofitnim organizacijama</w:t>
        <w:tab/>
        <w:t xml:space="preserve">                         18.000,00 KN/2.389,01 EUR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Izgradnja vrtića                                                                                 6.000.000,00 KN/796.336,85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UKUPNO: </w:t>
        <w:tab/>
        <w:tab/>
        <w:tab/>
        <w:tab/>
        <w:tab/>
        <w:tab/>
        <w:t xml:space="preserve">             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6.945.000,00 KN/921.759.90 EUR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/>
        </w:rPr>
        <w:t>“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III</w:t>
      </w:r>
    </w:p>
    <w:p>
      <w:pPr>
        <w:pStyle w:val="Normal"/>
        <w:bidi w:val="0"/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  <w:r>
        <w:rPr>
          <w:rFonts w:eastAsia="Calibri" w:cs="Times New Roman"/>
          <w:sz w:val="22"/>
          <w:szCs w:val="22"/>
          <w:lang w:val="hr-HR"/>
        </w:rPr>
        <w:t>Općina Negoslavci sufinancirat će osim djelatnosti iz članka I. ovog Programa i rad ostalih udruga iz područja zdravstva i dr. sukladno mogućnostima Proračuna.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Korisnici proračunskih sredstava nabrojani u točki II. financirat će se u mjesečnim ili kvartalnim obrocima, ukoliko ovakav način financiranja bude dozvoljavao priliv sredstava u proračun Općine Negoslavci.</w:t>
      </w:r>
    </w:p>
    <w:p>
      <w:pPr>
        <w:pStyle w:val="Normal"/>
        <w:widowControl w:val="false"/>
        <w:suppressAutoHyphens w:val="true"/>
        <w:bidi w:val="0"/>
        <w:spacing w:before="0" w:after="120"/>
        <w:jc w:val="center"/>
        <w:rPr>
          <w:sz w:val="22"/>
          <w:szCs w:val="22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IV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val="en-AU" w:eastAsia="hr-HR"/>
        </w:rPr>
        <w:t>Provedbene odluke u cilju realizacije ovog Programa donijet će Općinski načelnik.</w:t>
      </w:r>
    </w:p>
    <w:p>
      <w:pPr>
        <w:pStyle w:val="Normal"/>
        <w:widowControl w:val="false"/>
        <w:suppressAutoHyphens w:val="true"/>
        <w:bidi w:val="0"/>
        <w:spacing w:before="0" w:after="120"/>
        <w:jc w:val="center"/>
        <w:rPr>
          <w:sz w:val="22"/>
          <w:szCs w:val="22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V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08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Zajednice i udruge iz članka I obvezuju se dostaviti izvješće o utrošku sredstava doznačenih po ovom Programu najkasnije do 31. ožujka 2023. godine.</w:t>
      </w:r>
    </w:p>
    <w:p>
      <w:pPr>
        <w:pStyle w:val="Normal"/>
        <w:bidi w:val="0"/>
        <w:spacing w:before="0" w:after="0"/>
        <w:contextualSpacing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VI</w:t>
      </w:r>
    </w:p>
    <w:p>
      <w:pPr>
        <w:pStyle w:val="Normal"/>
        <w:bidi w:val="0"/>
        <w:ind w:firstLine="708"/>
        <w:jc w:val="both"/>
        <w:rPr>
          <w:sz w:val="22"/>
          <w:szCs w:val="22"/>
        </w:rPr>
      </w:pPr>
      <w:r>
        <w:rPr>
          <w:rFonts w:eastAsia="Calibri" w:cs="Times New Roman"/>
          <w:color w:val="000000" w:themeColor="text1"/>
          <w:sz w:val="22"/>
          <w:szCs w:val="22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  <w:bookmarkStart w:id="1" w:name="_GoBack"/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trong">
    <w:name w:val="Strong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LibreOffice/7.4.1.2$Windows_X86_64 LibreOffice_project/3c58a8f3a960df8bc8fd77b461821e42c061c5f0</Application>
  <AppVersion>15.0000</AppVersion>
  <Pages>1</Pages>
  <Words>325</Words>
  <Characters>2102</Characters>
  <CharactersWithSpaces>2646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2022-12-29T10:57:22Z</dcterms:created>
  <dc:creator/>
  <dc:description/>
  <dc:language>hr-HR</dc:language>
  <cp:lastModifiedBy/>
  <dcterms:modified xsi:type="dcterms:W3CDTF">2023-01-12T14:20:14Z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