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  <w:t>REPUBLIKA HRVATSKA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VUKOVARSKO-SRIJEMSKA ŽUPANIJA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OPĆINA NEGOSLAVCI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KLASA: </w:t>
      </w:r>
      <w:r>
        <w:rPr>
          <w:rFonts w:eastAsia="Calibri" w:cs="Times New Roman"/>
          <w:color w:val="000000"/>
          <w:szCs w:val="24"/>
          <w:lang w:val="hr-HR"/>
        </w:rPr>
        <w:t>400-01/2</w:t>
      </w:r>
      <w:r>
        <w:rPr>
          <w:rFonts w:eastAsia="Calibri" w:cs="Times New Roman"/>
          <w:szCs w:val="24"/>
          <w:lang w:val="hr-HR"/>
        </w:rPr>
        <w:t>2-01/01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2196-19-02-22</w:t>
      </w:r>
      <w:r>
        <w:rPr>
          <w:rFonts w:eastAsia="Calibri" w:cs="Times New Roman"/>
          <w:color w:val="000000"/>
          <w:szCs w:val="24"/>
          <w:lang w:val="hr-HR"/>
        </w:rPr>
        <w:t>-1</w:t>
      </w:r>
      <w:r>
        <w:rPr>
          <w:rFonts w:eastAsia="Calibri" w:cs="Times New Roman"/>
          <w:color w:val="000000"/>
          <w:szCs w:val="24"/>
          <w:lang w:val="hr-HR"/>
        </w:rPr>
        <w:t>8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 xml:space="preserve">Negoslavci, </w:t>
      </w:r>
      <w:r>
        <w:rPr>
          <w:lang w:val="hr-HR"/>
        </w:rPr>
        <w:t>27.12.2022. godine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 xml:space="preserve">Na temelju članka 67., stavka 1. Zakona o komunalnom gospodarstvu („Narodne novine“ broj 68/18, 110/18 i 32/20) i </w:t>
      </w:r>
      <w:r>
        <w:rPr>
          <w:rFonts w:eastAsia="Calibri" w:cs="Times New Roman"/>
          <w:szCs w:val="24"/>
          <w:lang w:val="hr-HR"/>
        </w:rPr>
        <w:t>članka 19., stavka 1., točke 2. Statuta Općine Negoslavci („Službeni glasnik Općine Negoslavci” broj 1/21)</w:t>
      </w:r>
      <w:r>
        <w:rPr>
          <w:lang w:val="hr-HR"/>
        </w:rPr>
        <w:t>, Općinsko vijeće Općine Negoslavci na svojoj redovnoj sjednici održanoj dana 27.12.2022. godine donosi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bookmarkStart w:id="0" w:name="_Toc62727860"/>
      <w:r>
        <w:rPr>
          <w:rFonts w:eastAsia="Calibri" w:cs="Times New Roman"/>
          <w:b/>
          <w:szCs w:val="24"/>
          <w:lang w:val="hr-HR"/>
        </w:rPr>
        <w:t>Program građenja komunalne infrastrukture</w:t>
      </w:r>
      <w:bookmarkEnd w:id="0"/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Općine Negoslavci za 2023. godinu</w:t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 xml:space="preserve">Ovim se Programom određuje se opis poslova građenja komunalne infrastrukture za 2023. godinu, iskaz financijskih sredstava potrebnih za ostvarivanje programa i naznake izvora financiranja po djelatnostima.                    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 </w:t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>
      <w:pPr>
        <w:pStyle w:val="Normal"/>
        <w:bidi w:val="0"/>
        <w:jc w:val="both"/>
        <w:rPr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lang w:val="hr-HR"/>
        </w:rPr>
        <w:t>Građenje objekata i uređaja komunalne infrastrukture utvrđuje se po djelatnostima kako slijedi: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hr-HR"/>
        </w:rPr>
      </w:pPr>
      <w:r>
        <w:rPr>
          <w:lang w:val="hr-HR"/>
        </w:rPr>
        <w:t>građenje objekata komunalne infrastrukture za</w:t>
      </w:r>
    </w:p>
    <w:p>
      <w:pPr>
        <w:pStyle w:val="ListParagraph"/>
        <w:numPr>
          <w:ilvl w:val="0"/>
          <w:numId w:val="3"/>
        </w:numPr>
        <w:bidi w:val="0"/>
        <w:jc w:val="both"/>
        <w:rPr>
          <w:lang w:val="hr-HR"/>
        </w:rPr>
      </w:pPr>
      <w:r>
        <w:rPr>
          <w:lang w:val="hr-HR"/>
        </w:rPr>
        <w:t>građevine komunalne infrastrukture koje će se graditi radi uređenja neuređenih dijelova građevinskog područja,</w:t>
      </w:r>
    </w:p>
    <w:p>
      <w:pPr>
        <w:pStyle w:val="ListParagraph"/>
        <w:numPr>
          <w:ilvl w:val="0"/>
          <w:numId w:val="3"/>
        </w:numPr>
        <w:bidi w:val="0"/>
        <w:jc w:val="both"/>
        <w:rPr>
          <w:lang w:val="hr-HR"/>
        </w:rPr>
      </w:pPr>
      <w:r>
        <w:rPr>
          <w:lang w:val="hr-HR"/>
        </w:rPr>
        <w:t>građevine komunalne infrastrukture koje će se graditi u uređenim dijelovima građevinskog područja,</w:t>
      </w:r>
    </w:p>
    <w:p>
      <w:pPr>
        <w:pStyle w:val="ListParagraph"/>
        <w:numPr>
          <w:ilvl w:val="0"/>
          <w:numId w:val="3"/>
        </w:numPr>
        <w:bidi w:val="0"/>
        <w:jc w:val="both"/>
        <w:rPr>
          <w:lang w:val="hr-HR"/>
        </w:rPr>
      </w:pPr>
      <w:r>
        <w:rPr>
          <w:lang w:val="hr-HR"/>
        </w:rPr>
        <w:t>građevine komunalne infrastrukture koje će se graditi izvan građevinskog područja,</w:t>
      </w:r>
    </w:p>
    <w:p>
      <w:pPr>
        <w:pStyle w:val="ListParagraph"/>
        <w:numPr>
          <w:ilvl w:val="0"/>
          <w:numId w:val="3"/>
        </w:numPr>
        <w:bidi w:val="0"/>
        <w:jc w:val="both"/>
        <w:rPr>
          <w:lang w:val="hr-HR"/>
        </w:rPr>
      </w:pPr>
      <w:r>
        <w:rPr>
          <w:lang w:val="hr-HR"/>
        </w:rPr>
        <w:t>postojeće građevine komunalne infrastrukture koje će se rekonstruisati,</w:t>
      </w:r>
    </w:p>
    <w:p>
      <w:pPr>
        <w:pStyle w:val="ListParagraph"/>
        <w:numPr>
          <w:ilvl w:val="0"/>
          <w:numId w:val="3"/>
        </w:numPr>
        <w:bidi w:val="0"/>
        <w:jc w:val="left"/>
        <w:rPr>
          <w:lang w:val="hr-HR"/>
        </w:rPr>
      </w:pPr>
      <w:r>
        <w:rPr>
          <w:lang w:val="hr-HR"/>
        </w:rPr>
        <w:t>građevine komunalne infrastrukture koje će se uklanjati.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>
      <w:pPr>
        <w:pStyle w:val="ListParagraph"/>
        <w:bidi w:val="0"/>
        <w:ind w:left="0" w:hanging="0"/>
        <w:jc w:val="both"/>
        <w:rPr>
          <w:lang w:val="hr-HR"/>
        </w:rPr>
      </w:pPr>
      <w:r>
        <w:rPr>
          <w:lang w:val="hr-HR"/>
        </w:rPr>
        <w:tab/>
        <w:t>U 2023. godini planira se gradnja sljedećih objekata komunalne infrastrukture na području Općine Negoslavci kako slijedi:</w:t>
      </w:r>
    </w:p>
    <w:p>
      <w:pPr>
        <w:pStyle w:val="ListParagraph"/>
        <w:numPr>
          <w:ilvl w:val="0"/>
          <w:numId w:val="4"/>
        </w:numPr>
        <w:bidi w:val="0"/>
        <w:jc w:val="both"/>
        <w:rPr>
          <w:lang w:val="hr-HR"/>
        </w:rPr>
      </w:pPr>
      <w:r>
        <w:rPr>
          <w:lang w:val="hr-HR"/>
        </w:rPr>
        <w:t>građevine komunalne infrastrukture koje će se graditi radi uređenja neuređenih dijelova građevinskog područja</w:t>
        <w:tab/>
        <w:tab/>
        <w:tab/>
        <w:tab/>
        <w:tab/>
        <w:t xml:space="preserve">                                         0,00</w:t>
      </w:r>
    </w:p>
    <w:p>
      <w:pPr>
        <w:pStyle w:val="ListParagraph"/>
        <w:numPr>
          <w:ilvl w:val="0"/>
          <w:numId w:val="4"/>
        </w:numPr>
        <w:bidi w:val="0"/>
        <w:jc w:val="both"/>
        <w:rPr>
          <w:lang w:val="hr-HR"/>
        </w:rPr>
      </w:pPr>
      <w:r>
        <w:rPr>
          <w:lang w:val="hr-HR"/>
        </w:rPr>
        <w:t>građevine komunalne infrastrukture koje će se graditi u uređenim dijelovima građevinskog područja</w:t>
        <w:tab/>
      </w:r>
    </w:p>
    <w:p>
      <w:pPr>
        <w:pStyle w:val="Normal"/>
        <w:bidi w:val="0"/>
        <w:ind w:left="993" w:hanging="993"/>
        <w:jc w:val="both"/>
        <w:rPr>
          <w:lang w:val="hr-HR"/>
        </w:rPr>
      </w:pPr>
      <w:r>
        <w:rPr>
          <w:lang w:val="hr-HR"/>
        </w:rPr>
        <w:tab/>
        <w:t xml:space="preserve">- </w:t>
      </w:r>
      <w:r>
        <w:rPr>
          <w:color w:val="000000"/>
          <w:lang w:val="hr-HR"/>
        </w:rPr>
        <w:t xml:space="preserve">izgradnja nerazvrstane ceste „Progon put Gatina”, k.č. 2014., k.o. Negoslavci                                                                                                  </w:t>
      </w:r>
      <w:r>
        <w:rPr>
          <w:lang w:val="hr-HR"/>
        </w:rPr>
        <w:t xml:space="preserve"> </w:t>
        <w:tab/>
        <w:tab/>
        <w:tab/>
        <w:tab/>
        <w:t xml:space="preserve">                                                  250.000,00 KN/33.180,70 EUR</w:t>
      </w:r>
    </w:p>
    <w:p>
      <w:pPr>
        <w:pStyle w:val="ListParagraph"/>
        <w:numPr>
          <w:ilvl w:val="0"/>
          <w:numId w:val="0"/>
        </w:numPr>
        <w:bidi w:val="0"/>
        <w:ind w:left="1080" w:hanging="0"/>
        <w:jc w:val="both"/>
        <w:rPr>
          <w:lang w:val="hr-HR"/>
        </w:rPr>
      </w:pPr>
      <w:r>
        <w:rPr>
          <w:lang w:val="hr-HR"/>
        </w:rPr>
        <w:t>građevine komunalne infrastrukture koje će se graditi izvan građevinskog područja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ab/>
        <w:tab/>
        <w:tab/>
        <w:tab/>
        <w:tab/>
        <w:tab/>
        <w:tab/>
        <w:tab/>
        <w:tab/>
        <w:t xml:space="preserve">                                   0,00</w:t>
      </w:r>
    </w:p>
    <w:p>
      <w:pPr>
        <w:pStyle w:val="ListParagraph"/>
        <w:numPr>
          <w:ilvl w:val="0"/>
          <w:numId w:val="4"/>
        </w:numPr>
        <w:bidi w:val="0"/>
        <w:jc w:val="both"/>
        <w:rPr>
          <w:lang w:val="hr-HR"/>
        </w:rPr>
      </w:pPr>
      <w:r>
        <w:rPr>
          <w:lang w:val="hr-HR"/>
        </w:rPr>
        <w:t>postojeće građevine komunalne infrastrukture koje će se rekonstruisati,                     0,00</w:t>
      </w:r>
    </w:p>
    <w:p>
      <w:pPr>
        <w:pStyle w:val="ListParagraph"/>
        <w:numPr>
          <w:ilvl w:val="0"/>
          <w:numId w:val="4"/>
        </w:numPr>
        <w:bidi w:val="0"/>
        <w:jc w:val="left"/>
        <w:rPr>
          <w:lang w:val="hr-HR"/>
        </w:rPr>
      </w:pPr>
      <w:r>
        <w:rPr>
          <w:lang w:val="hr-HR"/>
        </w:rPr>
        <w:t>građevine komunalne infrastrukture koje će se uklanjati.                                             0,00</w:t>
      </w:r>
    </w:p>
    <w:p>
      <w:pPr>
        <w:pStyle w:val="ListParagraph"/>
        <w:bidi w:val="0"/>
        <w:ind w:left="0" w:hanging="0"/>
        <w:jc w:val="left"/>
        <w:rPr>
          <w:b/>
          <w:b/>
          <w:lang w:val="hr-HR"/>
        </w:rPr>
      </w:pPr>
      <w:r>
        <w:rPr>
          <w:b/>
          <w:lang w:val="hr-HR"/>
        </w:rPr>
        <w:t xml:space="preserve">UKUPNO: </w:t>
        <w:tab/>
        <w:tab/>
        <w:tab/>
        <w:tab/>
        <w:tab/>
        <w:tab/>
        <w:tab/>
        <w:tab/>
        <w:t xml:space="preserve">  250.000,00 KN/33.180,70 EUR</w:t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4.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Financijska sredstva za gradnju komunalne infrastrukture iz članka 3. u ukupnom iznosu od 250.000,00 KN/33.180,70 EUR osigurat će se iz sljedećih izvora.</w:t>
      </w:r>
    </w:p>
    <w:tbl>
      <w:tblPr>
        <w:tblStyle w:val="Reetkatablice"/>
        <w:tblW w:w="9350" w:type="dxa"/>
        <w:jc w:val="left"/>
        <w:tblInd w:w="-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Izvršenje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Potrebna sredstva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Izvori financiranja i iznosi</w:t>
            </w:r>
          </w:p>
        </w:tc>
      </w:tr>
      <w:tr>
        <w:trPr/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2"/>
                <w:lang w:val="hr-HR" w:eastAsia="en-US" w:bidi="ar-SA"/>
              </w:rPr>
              <w:t xml:space="preserve">izgradnja nerazvrstane ceste „Progon put Gatina”, k.č. 2014., k.o. Negoslavci                                                                                                  </w:t>
            </w:r>
            <w:r>
              <w:rPr>
                <w:rFonts w:ascii="Times New Roman" w:hAnsi="Times New Roman"/>
                <w:color w:val="C9211E"/>
                <w:kern w:val="0"/>
                <w:sz w:val="24"/>
                <w:szCs w:val="22"/>
                <w:lang w:val="hr-HR" w:eastAsia="en-US" w:bidi="ar-SA"/>
              </w:rPr>
              <w:t xml:space="preserve">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993" w:hanging="993"/>
              <w:jc w:val="both"/>
              <w:rPr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250.000,00 KN/</w:t>
            </w:r>
          </w:p>
          <w:p>
            <w:pPr>
              <w:pStyle w:val="Normal"/>
              <w:widowControl w:val="false"/>
              <w:bidi w:val="0"/>
              <w:ind w:left="993" w:hanging="993"/>
              <w:jc w:val="both"/>
              <w:rPr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33.180,70 EUR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Sufinanciranje Ministarstva regionalnog razvoja i fondova Europske Unije -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250.000,00 KN/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33.180,0 EUR</w:t>
            </w:r>
          </w:p>
        </w:tc>
      </w:tr>
      <w:tr>
        <w:trPr/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UKUPNO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250.000,00 KN/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33.180,70 EUR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</w:r>
          </w:p>
        </w:tc>
      </w:tr>
    </w:tbl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bookmarkStart w:id="1" w:name="_Hlk62558697"/>
      <w:bookmarkEnd w:id="1"/>
      <w:r>
        <w:rPr>
          <w:rFonts w:eastAsia="Calibri" w:cs="Times New Roman"/>
          <w:b/>
          <w:szCs w:val="24"/>
          <w:lang w:val="hr-HR"/>
        </w:rPr>
        <w:t>Članak 5.</w:t>
      </w:r>
    </w:p>
    <w:p>
      <w:pPr>
        <w:pStyle w:val="Normal"/>
        <w:widowControl w:val="false"/>
        <w:suppressAutoHyphens w:val="true"/>
        <w:bidi w:val="0"/>
        <w:spacing w:before="0" w:after="1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ab/>
        <w:t>Provedbenu odluku u cilju realizacije ovoga programa donijeti će Općinski načelnik.</w:t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6.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Ovaj Program stupa na snagu dan nakon dana objave u Službenom glasniku Općine Negoslavci, a primjenju</w:t>
      </w:r>
      <w:bookmarkStart w:id="2" w:name="_GoBack"/>
      <w:bookmarkEnd w:id="2"/>
      <w:r>
        <w:rPr>
          <w:rFonts w:eastAsia="Calibri" w:cs="Times New Roman"/>
          <w:szCs w:val="24"/>
          <w:lang w:val="hr-HR"/>
        </w:rPr>
        <w:t>je se od 01.01.2023. godine.</w:t>
      </w:r>
    </w:p>
    <w:p>
      <w:pPr>
        <w:pStyle w:val="Normal"/>
        <w:bidi w:val="0"/>
        <w:jc w:val="lef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PREDSJEDNIK OPĆINSKOG VIJEĆA</w:t>
      </w:r>
    </w:p>
    <w:p>
      <w:pPr>
        <w:pStyle w:val="Normal"/>
        <w:bidi w:val="0"/>
        <w:jc w:val="right"/>
        <w:rPr>
          <w:rFonts w:eastAsia="Calibri" w:cs="Times New Roman"/>
          <w:szCs w:val="24"/>
          <w:lang w:val="hr-HR"/>
        </w:rPr>
      </w:pPr>
      <w:bookmarkStart w:id="3" w:name="_Hlk625586971"/>
      <w:bookmarkEnd w:id="3"/>
      <w:r>
        <w:rPr>
          <w:rFonts w:eastAsia="Calibri" w:cs="Times New Roman"/>
          <w:szCs w:val="24"/>
          <w:lang w:val="hr-HR"/>
        </w:rPr>
        <w:t>Miodrag Mišanović</w:t>
      </w:r>
    </w:p>
    <w:p>
      <w:pPr>
        <w:pStyle w:val="Normal"/>
        <w:bidi w:val="0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LibreOffice/7.4.1.2$Windows_X86_64 LibreOffice_project/3c58a8f3a960df8bc8fd77b461821e42c061c5f0</Application>
  <AppVersion>15.0000</AppVersion>
  <Pages>2</Pages>
  <Words>371</Words>
  <Characters>2475</Characters>
  <CharactersWithSpaces>3233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2022-12-30T11:16:18Z</dcterms:created>
  <dc:creator/>
  <dc:description/>
  <dc:language>hr-HR</dc:language>
  <cp:lastModifiedBy/>
  <dcterms:modified xsi:type="dcterms:W3CDTF">2023-01-12T14:20:21Z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