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KLASA:</w:t>
      </w:r>
      <w:r>
        <w:rPr>
          <w:rFonts w:eastAsia="Calibri" w:cs="Times New Roman"/>
          <w:sz w:val="24"/>
          <w:szCs w:val="24"/>
          <w:lang w:val="hr-HR"/>
        </w:rPr>
        <w:t xml:space="preserve"> </w:t>
      </w:r>
      <w:r>
        <w:rPr>
          <w:rFonts w:eastAsia="Calibri" w:cs="Times New Roman"/>
          <w:color w:val="000000"/>
          <w:sz w:val="24"/>
          <w:szCs w:val="24"/>
          <w:lang w:val="hr-HR"/>
        </w:rPr>
        <w:t>400-01/22-01</w:t>
      </w:r>
      <w:r>
        <w:rPr>
          <w:rFonts w:eastAsia="Calibri" w:cs="Times New Roman"/>
          <w:sz w:val="24"/>
          <w:szCs w:val="24"/>
          <w:lang w:val="hr-HR"/>
        </w:rPr>
        <w:t>/01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URBROJ:</w:t>
      </w:r>
      <w:r>
        <w:rPr>
          <w:rFonts w:eastAsia="Calibri" w:cs="Times New Roman"/>
          <w:sz w:val="24"/>
          <w:szCs w:val="24"/>
          <w:lang w:val="hr-HR"/>
        </w:rPr>
        <w:t xml:space="preserve"> 2196-19-02-22-1</w:t>
      </w:r>
      <w:r>
        <w:rPr>
          <w:rFonts w:eastAsia="Calibri" w:cs="Times New Roman"/>
          <w:sz w:val="24"/>
          <w:szCs w:val="24"/>
          <w:lang w:val="hr-HR"/>
        </w:rPr>
        <w:t>9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Negoslavci,</w:t>
      </w:r>
      <w:r>
        <w:rPr>
          <w:rFonts w:eastAsia="Calibri" w:cs="Times New Roman"/>
          <w:sz w:val="24"/>
          <w:szCs w:val="24"/>
          <w:lang w:val="hr-HR"/>
        </w:rPr>
        <w:t xml:space="preserve"> 27.12.2022. godine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bidi w:val="0"/>
        <w:ind w:firstLine="72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 w:val="24"/>
          <w:szCs w:val="24"/>
          <w:lang w:val="hr-HR"/>
        </w:rPr>
        <w:t xml:space="preserve">Na temelju </w:t>
      </w:r>
      <w:r>
        <w:rPr>
          <w:rFonts w:eastAsia="Andale Sans UI" w:cs="Times New Roman"/>
          <w:kern w:val="2"/>
          <w:sz w:val="24"/>
          <w:szCs w:val="24"/>
          <w:lang w:val="hr-HR" w:eastAsia="zh-CN"/>
        </w:rPr>
        <w:t xml:space="preserve">članka. 1. i članka 9a. Zakona o financiranju javnih potreba u kulturi („Narodne novine” broj 47/90, 27/93 i 38/09) te </w:t>
      </w:r>
      <w:r>
        <w:rPr>
          <w:rFonts w:eastAsia="Calibri" w:cs="Times New Roman"/>
          <w:sz w:val="24"/>
          <w:szCs w:val="24"/>
          <w:lang w:val="hr-HR"/>
        </w:rPr>
        <w:t>članka 19., stavka 1., točke 2. Statuta Općine Negoslavci („Službeni glasnik Općine Negoslavci” broj 1/21), Općinsko vijeće Općine Negoslavci na svojoj redovnoj sjednici održanoj dana 27.12.2022. godine donosi</w:t>
      </w:r>
    </w:p>
    <w:p>
      <w:pPr>
        <w:pStyle w:val="Normal"/>
        <w:widowControl w:val="false"/>
        <w:suppressAutoHyphens w:val="true"/>
        <w:bidi w:val="0"/>
        <w:ind w:right="-285" w:firstLine="72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eastAsia="Andale Sans UI" w:cs="Times New Roman"/>
          <w:kern w:val="2"/>
          <w:szCs w:val="24"/>
          <w:lang w:val="hr-HR" w:eastAsia="zh-CN"/>
        </w:rPr>
      </w:pPr>
      <w:bookmarkStart w:id="0" w:name="_GoBack"/>
      <w:bookmarkStart w:id="1" w:name="_Toc62727865"/>
      <w:r>
        <w:rPr>
          <w:rFonts w:eastAsia="Andale Sans UI" w:cs="Times New Roman"/>
          <w:b/>
          <w:kern w:val="2"/>
          <w:sz w:val="24"/>
          <w:szCs w:val="24"/>
          <w:lang w:val="hr-HR" w:eastAsia="zh-CN"/>
        </w:rPr>
        <w:t>Program javnih potreba u kulturi na području Općine Negoslavci za 2023. god</w:t>
      </w:r>
      <w:bookmarkEnd w:id="0"/>
      <w:bookmarkEnd w:id="1"/>
      <w:r>
        <w:rPr>
          <w:rFonts w:eastAsia="Andale Sans UI" w:cs="Times New Roman"/>
          <w:b/>
          <w:kern w:val="2"/>
          <w:sz w:val="24"/>
          <w:szCs w:val="24"/>
          <w:lang w:val="hr-HR" w:eastAsia="zh-CN"/>
        </w:rPr>
        <w:t>inu</w:t>
      </w:r>
    </w:p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Times New Roman" w:cs="Times New Roman"/>
          <w:kern w:val="2"/>
          <w:sz w:val="24"/>
          <w:szCs w:val="24"/>
          <w:lang w:val="hr-HR" w:eastAsia="zh-CN"/>
        </w:rPr>
        <w:t xml:space="preserve"> </w:t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Programom javnih potreba u kulturi Općine Negoslavci za 2023. godinu, utvrđuju se djelatnosti, odnosno programi, projekti, aktivnosti i manifestacije u kulturi, koje će se financirati iz proračuna Općine Negoslavci.</w:t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Javne potrebe u kulturi od značaja za Općinu Negoslavci, u svrhu poticanja kulturnih vrijednosti ostvarivati će se kroz:</w:t>
      </w:r>
    </w:p>
    <w:p>
      <w:pPr>
        <w:pStyle w:val="Normal"/>
        <w:widowControl w:val="false"/>
        <w:suppressAutoHyphens w:val="true"/>
        <w:bidi w:val="0"/>
        <w:ind w:right="-285" w:hanging="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-</w:t>
        <w:tab/>
        <w:t>djelatnosti i poslove udruga u kulturi, kao pomaganje i poticanje umjetničkog i kulturnog stvaralaštva kroz plesno-scensku i druge vidove izražavanja umjetničkog amaterizma,</w:t>
      </w:r>
    </w:p>
    <w:p>
      <w:pPr>
        <w:pStyle w:val="Normal"/>
        <w:widowControl w:val="false"/>
        <w:suppressAutoHyphens w:val="true"/>
        <w:bidi w:val="0"/>
        <w:ind w:right="-285" w:hanging="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-</w:t>
        <w:tab/>
        <w:t>aktivnosti i manifestacije u kulturi koje pridonose razvitku i promicanju kulturnog života i amaterizma u kulturi, te očuvanju i njegovanju običaja i tradicije.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U okviru sredstava za provedbu ovog Programa dopuštena je preraspodjela utvrđenih sredstava između pojedinih rashoda uz prethodno odobrenje Općinskog načelnika.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III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Financiranje svih programa i projekata provodi se putem javnog poziva, ili samo u iznimnim slučajevima direktno, a sve u skladu sa Uredbom o kriterijima, mjerilima i postupcima financiranja i ugovaranja programa i projekata od interesa za opće dobro koje provode udruge („Narodne novine“ broj 26/15 i 37/21) i Pravilniku o sufinanciranju udruga iz proračuna Općine Negoslavci.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Prednost pri odabiru imati će udruge čije sjedište je registrirano na području Općine Negoslavci.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IV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Za provođenje Programa osigurat će se sredstva u proračunu Općine Negoslavci kako slijedi (po fiksnoj tečaju konverzije 1 EUR=7,53450 KN):</w:t>
      </w:r>
    </w:p>
    <w:tbl>
      <w:tblPr>
        <w:tblW w:w="9368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37"/>
        <w:gridCol w:w="2030"/>
      </w:tblGrid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Sredstva predviđena za programe i projekte u kulturi za kulturna udruženja</w:t>
              <w:tab/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 xml:space="preserve">40.000,00 KN/5.308,91 EUR </w:t>
            </w:r>
          </w:p>
        </w:tc>
      </w:tr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Sredstva predviđena za aktivnosti i manifestacije u kulturi za kulturna udruženja i projekte po posebnim propisima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15.000,00 KN/1.990,84 EUR</w:t>
            </w:r>
          </w:p>
        </w:tc>
      </w:tr>
      <w:tr>
        <w:trPr>
          <w:trHeight w:val="102" w:hRule="atLeast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 w:val="24"/>
                <w:szCs w:val="24"/>
                <w:lang w:val="hr-HR" w:eastAsia="zh-CN"/>
              </w:rPr>
              <w:t>Ukupno program - Program javnih potreba u kulturi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 w:val="24"/>
                <w:szCs w:val="24"/>
                <w:lang w:val="hr-HR" w:eastAsia="zh-CN"/>
              </w:rPr>
              <w:t>55.000,00 KN/</w:t>
            </w:r>
          </w:p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 w:val="24"/>
                <w:szCs w:val="24"/>
                <w:lang w:val="hr-HR" w:eastAsia="zh-CN"/>
              </w:rPr>
              <w:t>7.299,75 EUR</w:t>
            </w:r>
          </w:p>
        </w:tc>
      </w:tr>
    </w:tbl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6"/>
          <w:szCs w:val="26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V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Općina Negoslavci obvezuje se pratiti provedbu aktivnosti ili manifestacija za koje su odobrena sredstva.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Korisnik financiranja je u obvezi voditi precizne i redovite evidencije vezane uz provođenje programa ili projekata, kao i osigurati financijske izvještaje, koristeći odgovarajuće računovodstvene sustave u skladu sa propisima o računovodstvu neprofitnih organizacija.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Način i rokovi izvještavanja o namjenskom utrošku dodijeljenih sredstava iz proračuna Općine Negoslavci pobliže će se utvrditi Ugovorom o dodjeli sredstava.</w:t>
      </w:r>
    </w:p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VI</w:t>
      </w:r>
    </w:p>
    <w:p>
      <w:pPr>
        <w:pStyle w:val="Normal"/>
        <w:bidi w:val="0"/>
        <w:ind w:firstLine="720"/>
        <w:jc w:val="both"/>
        <w:rPr>
          <w:lang w:val="hr-HR"/>
        </w:rPr>
      </w:pPr>
      <w:r>
        <w:rPr>
          <w:sz w:val="24"/>
          <w:szCs w:val="24"/>
          <w:lang w:val="hr-HR"/>
        </w:rPr>
        <w:t>Ovaj Program će se objaviti u Službenom glasniku Općine Negoslavci, a stupa na snagu i primjenjuje se od 01.01.2023. godine.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 w:val="24"/>
          <w:szCs w:val="24"/>
          <w:lang w:val="hr-HR"/>
        </w:rPr>
        <w:t>Miodrag Mišanović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LibreOffice/7.4.1.2$Windows_X86_64 LibreOffice_project/3c58a8f3a960df8bc8fd77b461821e42c061c5f0</Application>
  <AppVersion>15.0000</AppVersion>
  <Pages>2</Pages>
  <Words>426</Words>
  <Characters>2647</Characters>
  <CharactersWithSpaces>3041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2022-12-29T11:45:20Z</dcterms:created>
  <dc:creator/>
  <dc:description/>
  <dc:language>hr-HR</dc:language>
  <cp:lastModifiedBy/>
  <dcterms:modified xsi:type="dcterms:W3CDTF">2023-01-12T14:20:28Z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