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color w:val="000000"/>
          <w:szCs w:val="24"/>
          <w:lang w:val="hr-HR"/>
        </w:rPr>
        <w:t xml:space="preserve"> 400-01/22-</w:t>
      </w:r>
      <w:r>
        <w:rPr>
          <w:rFonts w:eastAsia="Calibri" w:cs="Times New Roman"/>
          <w:szCs w:val="24"/>
          <w:lang w:val="hr-HR"/>
        </w:rPr>
        <w:t>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URBROJ:</w:t>
      </w:r>
      <w:r>
        <w:rPr>
          <w:rFonts w:eastAsia="Calibri" w:cs="Times New Roman"/>
          <w:szCs w:val="24"/>
          <w:lang w:val="hr-HR"/>
        </w:rPr>
        <w:t xml:space="preserve"> 2196-19-02-22-</w:t>
      </w:r>
      <w:r>
        <w:rPr>
          <w:rFonts w:eastAsia="Calibri" w:cs="Times New Roman"/>
          <w:color w:val="000000"/>
          <w:szCs w:val="24"/>
          <w:lang w:val="hr-HR"/>
        </w:rPr>
        <w:t>20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27.12.2022.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Na temelju članka 48 i 49 Zakona o predškolskom odgoju i obrazovanju („Narodne novine“ broj </w:t>
      </w:r>
      <w:hyperlink r:id="rId3">
        <w:r>
          <w:rPr>
            <w:rFonts w:eastAsia="Calibri" w:cs="Times New Roman"/>
            <w:szCs w:val="24"/>
            <w:lang w:val="hr-HR"/>
          </w:rPr>
          <w:t>10/97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4">
        <w:r>
          <w:rPr>
            <w:rFonts w:eastAsia="Calibri" w:cs="Times New Roman"/>
            <w:szCs w:val="24"/>
            <w:lang w:val="hr-HR"/>
          </w:rPr>
          <w:t>107/07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5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6">
        <w:r>
          <w:rPr>
            <w:rFonts w:eastAsia="Calibri" w:cs="Times New Roman"/>
            <w:szCs w:val="24"/>
            <w:lang w:val="hr-HR"/>
          </w:rPr>
          <w:t>98/19</w:t>
        </w:r>
      </w:hyperlink>
      <w:r>
        <w:rPr>
          <w:rFonts w:eastAsia="Calibri" w:cs="Times New Roman"/>
          <w:szCs w:val="24"/>
          <w:lang w:val="hr-HR"/>
        </w:rPr>
        <w:t xml:space="preserve"> i 57/22), u svezi sa člankom 143. Zakona o odgoju i obrazovanju u osnovnoj i srednjoj školi („Narodne novine“ broj </w:t>
      </w:r>
      <w:hyperlink r:id="rId7">
        <w:r>
          <w:rPr>
            <w:rFonts w:eastAsia="Calibri" w:cs="Times New Roman"/>
            <w:szCs w:val="24"/>
            <w:lang w:val="hr-HR"/>
          </w:rPr>
          <w:t>87/08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8">
        <w:r>
          <w:rPr>
            <w:rFonts w:eastAsia="Calibri" w:cs="Times New Roman"/>
            <w:szCs w:val="24"/>
            <w:lang w:val="hr-HR"/>
          </w:rPr>
          <w:t>86/09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9">
        <w:r>
          <w:rPr>
            <w:rFonts w:eastAsia="Calibri" w:cs="Times New Roman"/>
            <w:szCs w:val="24"/>
            <w:lang w:val="hr-HR"/>
          </w:rPr>
          <w:t>92/10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0">
        <w:r>
          <w:rPr>
            <w:rFonts w:eastAsia="Calibri" w:cs="Times New Roman"/>
            <w:szCs w:val="24"/>
            <w:lang w:val="hr-HR"/>
          </w:rPr>
          <w:t>105/10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1">
        <w:r>
          <w:rPr>
            <w:rFonts w:eastAsia="Calibri" w:cs="Times New Roman"/>
            <w:szCs w:val="24"/>
            <w:lang w:val="hr-HR"/>
          </w:rPr>
          <w:t>90/11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2">
        <w:r>
          <w:rPr>
            <w:rFonts w:eastAsia="Calibri" w:cs="Times New Roman"/>
            <w:szCs w:val="24"/>
            <w:lang w:val="hr-HR"/>
          </w:rPr>
          <w:t>5/12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3">
        <w:r>
          <w:rPr>
            <w:rFonts w:eastAsia="Calibri" w:cs="Times New Roman"/>
            <w:szCs w:val="24"/>
            <w:lang w:val="hr-HR"/>
          </w:rPr>
          <w:t>16/12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4">
        <w:r>
          <w:rPr>
            <w:rFonts w:eastAsia="Calibri" w:cs="Times New Roman"/>
            <w:szCs w:val="24"/>
            <w:lang w:val="hr-HR"/>
          </w:rPr>
          <w:t>86/12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5">
        <w:r>
          <w:rPr>
            <w:rFonts w:eastAsia="Calibri" w:cs="Times New Roman"/>
            <w:szCs w:val="24"/>
            <w:lang w:val="hr-HR"/>
          </w:rPr>
          <w:t>126/12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6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7">
        <w:r>
          <w:rPr>
            <w:rFonts w:eastAsia="Calibri" w:cs="Times New Roman"/>
            <w:szCs w:val="24"/>
            <w:lang w:val="hr-HR"/>
          </w:rPr>
          <w:t>152/14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8">
        <w:r>
          <w:rPr>
            <w:rFonts w:eastAsia="Calibri" w:cs="Times New Roman"/>
            <w:szCs w:val="24"/>
            <w:lang w:val="hr-HR"/>
          </w:rPr>
          <w:t>07/17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9" w:tgtFrame="_blank">
        <w:r>
          <w:rPr>
            <w:rFonts w:eastAsia="Calibri" w:cs="Times New Roman"/>
            <w:szCs w:val="24"/>
            <w:lang w:val="hr-HR"/>
          </w:rPr>
          <w:t>68/18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20" w:tgtFrame="_blank">
        <w:r>
          <w:rPr>
            <w:rFonts w:eastAsia="Calibri" w:cs="Times New Roman"/>
            <w:szCs w:val="24"/>
            <w:lang w:val="hr-HR"/>
          </w:rPr>
          <w:t>98/19</w:t>
        </w:r>
      </w:hyperlink>
      <w:r>
        <w:rPr>
          <w:rFonts w:eastAsia="Calibri" w:cs="Times New Roman"/>
          <w:szCs w:val="24"/>
          <w:lang w:val="hr-HR"/>
        </w:rPr>
        <w:t xml:space="preserve"> i </w:t>
      </w:r>
      <w:hyperlink r:id="rId21">
        <w:r>
          <w:rPr>
            <w:rFonts w:eastAsia="Calibri" w:cs="Times New Roman"/>
            <w:szCs w:val="24"/>
            <w:lang w:val="hr-HR"/>
          </w:rPr>
          <w:t>64/20</w:t>
        </w:r>
      </w:hyperlink>
      <w:r>
        <w:rPr>
          <w:rFonts w:eastAsia="Calibri" w:cs="Times New Roman"/>
          <w:szCs w:val="24"/>
          <w:lang w:val="hr-HR"/>
        </w:rPr>
        <w:t xml:space="preserve">) i na temelju članka </w:t>
      </w:r>
      <w:r>
        <w:rPr>
          <w:lang w:val="hr-HR"/>
        </w:rPr>
        <w:t>19., stavka 1., točke 2. Statuta Općine Negoslavci („Službeni glasnik Općine Negoslavci” broj 1/21)</w:t>
      </w:r>
      <w:r>
        <w:rPr>
          <w:rFonts w:eastAsia="Calibri" w:cs="Times New Roman"/>
          <w:szCs w:val="24"/>
          <w:lang w:val="hr-HR"/>
        </w:rPr>
        <w:t>, Općinsko vijeće Općine Negoslavci na svojoj redovnoj sjednici održanoj dana 27.12.2022. godine donosi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58"/>
      <w:bookmarkStart w:id="1" w:name="_GoBack"/>
      <w:r>
        <w:rPr>
          <w:rFonts w:eastAsia="Calibri" w:cs="Times New Roman"/>
          <w:b/>
          <w:szCs w:val="24"/>
          <w:lang w:val="hr-HR"/>
        </w:rPr>
        <w:t>Program javnih potreba u obrazovanju Općine Negoslavci za 2023. godinu</w:t>
      </w:r>
      <w:bookmarkEnd w:id="0"/>
      <w:bookmarkEnd w:id="1"/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Za ostvarenje Programa javnih potreba u obrazovanju općine Negoslavci za 2023. godinu planira se (po tečaju konverzije 1 EUR=7,53450 KN):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Predškolsko obrazovanje</w:t>
        <w:tab/>
      </w:r>
      <w:r>
        <w:rPr>
          <w:rFonts w:eastAsia="Calibri" w:cs="Times New Roman"/>
          <w:b/>
          <w:bCs/>
          <w:sz w:val="22"/>
          <w:szCs w:val="22"/>
          <w:lang w:val="hr-HR"/>
        </w:rPr>
        <w:t xml:space="preserve">            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Obuća za predškolce </w:t>
        <w:tab/>
        <w:tab/>
        <w:tab/>
        <w:tab/>
        <w:tab/>
        <w:t xml:space="preserve">                                                 0,00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                                                                    1</w:t>
      </w:r>
      <w:r>
        <w:rPr>
          <w:rFonts w:eastAsia="Calibri" w:cs="Times New Roman"/>
          <w:color w:val="000000"/>
          <w:sz w:val="22"/>
          <w:szCs w:val="22"/>
          <w:lang w:val="hr-HR"/>
        </w:rPr>
        <w:t>17.000,00 KN</w:t>
      </w:r>
      <w:r>
        <w:rPr>
          <w:rFonts w:eastAsia="Calibri" w:cs="Times New Roman"/>
          <w:b/>
          <w:bCs/>
          <w:color w:val="000000"/>
          <w:sz w:val="22"/>
          <w:szCs w:val="22"/>
          <w:lang w:val="hr-HR"/>
        </w:rPr>
        <w:t>/</w:t>
      </w:r>
      <w:r>
        <w:rPr>
          <w:rFonts w:eastAsia="Calibri" w:cs="Times New Roman"/>
          <w:color w:val="000000"/>
          <w:sz w:val="22"/>
          <w:szCs w:val="22"/>
          <w:lang w:val="hr-HR"/>
        </w:rPr>
        <w:t>15.528.57 EUR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Troškovi sufinanciranje prehrane predškole</w:t>
        <w:tab/>
        <w:t xml:space="preserve">                        20.000,00 KN/2.654.46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Srednjoškolsko obrazovanje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javnog prijevoza srednjoškolskih učenika           25.000,00 KN/3.318,07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 xml:space="preserve">Osnovno školstvo                                                                                           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Tekuće donacije OŠ (uključivo nacionalne manjine)                  10</w:t>
      </w:r>
      <w:r>
        <w:rPr>
          <w:rFonts w:eastAsia="Calibri" w:cs="Times New Roman"/>
          <w:color w:val="000000"/>
          <w:sz w:val="22"/>
          <w:szCs w:val="24"/>
          <w:lang w:val="hr-HR"/>
        </w:rPr>
        <w:t>.000,00 KN/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1.327,23 </w:t>
      </w:r>
      <w:r>
        <w:rPr>
          <w:rFonts w:eastAsia="Calibri" w:cs="Times New Roman"/>
          <w:color w:val="000000"/>
          <w:sz w:val="22"/>
          <w:szCs w:val="24"/>
          <w:lang w:val="hr-HR"/>
        </w:rPr>
        <w:t xml:space="preserve">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Obuća za školarce</w:t>
        <w:tab/>
        <w:tab/>
        <w:tab/>
        <w:tab/>
        <w:tab/>
        <w:t xml:space="preserve">            20.000,00 KN/2.654,46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Tekuće pomoći OŠ                                                                       10.000,00 KN/1.327,23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ekskurzije učenicima</w:t>
        <w:tab/>
        <w:tab/>
        <w:tab/>
        <w:t xml:space="preserve">            40.000,00 KN/5.308,91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Radne bilježnice za učenike</w:t>
        <w:tab/>
        <w:tab/>
        <w:tab/>
        <w:tab/>
        <w:t xml:space="preserve">           15.000,00 KN/1.990,84 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Prehrana učenika</w:t>
        <w:tab/>
        <w:tab/>
        <w:tab/>
        <w:tab/>
        <w:tab/>
        <w:t xml:space="preserve">            30.000,00 KN/3.981,68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škole plivanja</w:t>
        <w:tab/>
        <w:tab/>
        <w:tab/>
        <w:tab/>
        <w:tab/>
        <w:t xml:space="preserve"> 8.500,00 KN/1.128,14 EUR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  <w:szCs w:val="22"/>
          <w:lang w:val="hr-HR"/>
        </w:rPr>
        <w:t>UKUPNO:</w:t>
        <w:tab/>
        <w:tab/>
        <w:tab/>
        <w:tab/>
        <w:tab/>
        <w:tab/>
        <w:tab/>
        <w:t xml:space="preserve">    295.500,00 KN/39.153,23 EUR”.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</w:t>
      </w:r>
    </w:p>
    <w:p>
      <w:pPr>
        <w:pStyle w:val="Normal"/>
        <w:widowControl w:val="false"/>
        <w:suppressAutoHyphens w:val="true"/>
        <w:bidi w:val="0"/>
        <w:spacing w:before="0" w:after="120"/>
        <w:ind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Provedbene odluke u cilju realizacije ovoga programa donijeti će Općinski načelnik.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III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Ovaj Program stupa na snagu dan nakon dana objave u Službenom glasniku Općine Negoslavci, a primjenjuje se od 01.01.2023. godine.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zakon.hr/cms.htm?id=477" TargetMode="External"/><Relationship Id="rId4" Type="http://schemas.openxmlformats.org/officeDocument/2006/relationships/hyperlink" Target="https://www.zakon.hr/cms.htm?id=478" TargetMode="External"/><Relationship Id="rId5" Type="http://schemas.openxmlformats.org/officeDocument/2006/relationships/hyperlink" Target="https://www.zakon.hr/cms.htm?id=479" TargetMode="External"/><Relationship Id="rId6" Type="http://schemas.openxmlformats.org/officeDocument/2006/relationships/hyperlink" Target="https://www.zakon.hr/cms.htm?id=40813" TargetMode="External"/><Relationship Id="rId7" Type="http://schemas.openxmlformats.org/officeDocument/2006/relationships/hyperlink" Target="https://www.zakon.hr/cms.htm?id=66" TargetMode="External"/><Relationship Id="rId8" Type="http://schemas.openxmlformats.org/officeDocument/2006/relationships/hyperlink" Target="https://www.zakon.hr/cms.htm?id=67" TargetMode="External"/><Relationship Id="rId9" Type="http://schemas.openxmlformats.org/officeDocument/2006/relationships/hyperlink" Target="https://www.zakon.hr/cms.htm?id=68" TargetMode="External"/><Relationship Id="rId10" Type="http://schemas.openxmlformats.org/officeDocument/2006/relationships/hyperlink" Target="https://www.zakon.hr/cms.htm?id=69" TargetMode="External"/><Relationship Id="rId11" Type="http://schemas.openxmlformats.org/officeDocument/2006/relationships/hyperlink" Target="https://www.zakon.hr/cms.htm?id=70" TargetMode="External"/><Relationship Id="rId12" Type="http://schemas.openxmlformats.org/officeDocument/2006/relationships/hyperlink" Target="https://www.zakon.hr/cms.htm?id=71" TargetMode="External"/><Relationship Id="rId13" Type="http://schemas.openxmlformats.org/officeDocument/2006/relationships/hyperlink" Target="https://www.zakon.hr/cms.htm?id=72" TargetMode="External"/><Relationship Id="rId14" Type="http://schemas.openxmlformats.org/officeDocument/2006/relationships/hyperlink" Target="https://www.zakon.hr/cms.htm?id=73" TargetMode="External"/><Relationship Id="rId15" Type="http://schemas.openxmlformats.org/officeDocument/2006/relationships/hyperlink" Target="https://www.zakon.hr/cms.htm?id=182" TargetMode="External"/><Relationship Id="rId16" Type="http://schemas.openxmlformats.org/officeDocument/2006/relationships/hyperlink" Target="https://www.zakon.hr/cms.htm?id=480" TargetMode="External"/><Relationship Id="rId17" Type="http://schemas.openxmlformats.org/officeDocument/2006/relationships/hyperlink" Target="https://www.zakon.hr/cms.htm?id=1671" TargetMode="External"/><Relationship Id="rId18" Type="http://schemas.openxmlformats.org/officeDocument/2006/relationships/hyperlink" Target="https://www.zakon.hr/cms.htm?id=17751" TargetMode="External"/><Relationship Id="rId19" Type="http://schemas.openxmlformats.org/officeDocument/2006/relationships/hyperlink" Target="https://www.zakon.hr/cms.htm?id=31279" TargetMode="External"/><Relationship Id="rId20" Type="http://schemas.openxmlformats.org/officeDocument/2006/relationships/hyperlink" Target="https://www.zakon.hr/cms.htm?id=40815" TargetMode="External"/><Relationship Id="rId21" Type="http://schemas.openxmlformats.org/officeDocument/2006/relationships/hyperlink" Target="https://www.zakon.hr/cms.htm?id=44620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LibreOffice/7.4.1.2$Windows_X86_64 LibreOffice_project/3c58a8f3a960df8bc8fd77b461821e42c061c5f0</Application>
  <AppVersion>15.0000</AppVersion>
  <Pages>1</Pages>
  <Words>263</Words>
  <Characters>1678</Characters>
  <CharactersWithSpaces>2323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2022-12-29T12:32:43Z</dcterms:created>
  <dc:creator/>
  <dc:description/>
  <dc:language>hr-HR</dc:language>
  <cp:lastModifiedBy/>
  <dcterms:modified xsi:type="dcterms:W3CDTF">2023-01-12T14:20:36Z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