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KLASA:</w:t>
      </w:r>
      <w:r>
        <w:rPr>
          <w:rFonts w:eastAsia="Calibri" w:cs="Times New Roman"/>
          <w:b/>
          <w:color w:val="000000"/>
          <w:szCs w:val="24"/>
          <w:lang w:val="hr-HR"/>
        </w:rPr>
        <w:t xml:space="preserve"> </w:t>
      </w:r>
      <w:r>
        <w:rPr>
          <w:rFonts w:eastAsia="Calibri" w:cs="Times New Roman"/>
          <w:color w:val="000000"/>
          <w:szCs w:val="24"/>
          <w:lang w:val="hr-HR"/>
        </w:rPr>
        <w:t>400-01/22-01/01</w:t>
      </w:r>
    </w:p>
    <w:p>
      <w:pPr>
        <w:pStyle w:val="Normal"/>
        <w:bidi w:val="0"/>
        <w:jc w:val="both"/>
        <w:rPr>
          <w:rFonts w:eastAsia="Calibri" w:cs="Times New Roman"/>
          <w:szCs w:val="24"/>
          <w:lang w:val="hr-HR"/>
        </w:rPr>
      </w:pPr>
      <w:r>
        <w:rPr>
          <w:rFonts w:eastAsia="Calibri" w:cs="Times New Roman"/>
          <w:b/>
          <w:szCs w:val="24"/>
          <w:lang w:val="hr-HR"/>
        </w:rPr>
        <w:t xml:space="preserve">URBROJ: </w:t>
      </w:r>
      <w:r>
        <w:rPr>
          <w:rFonts w:eastAsia="Calibri" w:cs="Times New Roman"/>
          <w:szCs w:val="24"/>
          <w:lang w:val="hr-HR"/>
        </w:rPr>
        <w:t>2196-19-02-2</w:t>
      </w:r>
      <w:r>
        <w:rPr>
          <w:rFonts w:eastAsia="Calibri" w:cs="Times New Roman"/>
          <w:color w:val="000000"/>
          <w:szCs w:val="24"/>
          <w:lang w:val="hr-HR"/>
        </w:rPr>
        <w:t>2-2</w:t>
      </w:r>
      <w:r>
        <w:rPr>
          <w:rFonts w:eastAsia="Calibri" w:cs="Times New Roman"/>
          <w:color w:val="000000"/>
          <w:szCs w:val="24"/>
          <w:lang w:val="hr-HR"/>
        </w:rPr>
        <w:t>4</w:t>
      </w:r>
    </w:p>
    <w:p>
      <w:pPr>
        <w:pStyle w:val="Normal"/>
        <w:bidi w:val="0"/>
        <w:jc w:val="both"/>
        <w:rPr>
          <w:rFonts w:eastAsia="Calibri" w:cs="Times New Roman"/>
          <w:szCs w:val="24"/>
          <w:lang w:val="hr-HR"/>
        </w:rPr>
      </w:pPr>
      <w:r>
        <w:rPr>
          <w:rFonts w:eastAsia="Calibri" w:cs="Times New Roman"/>
          <w:b/>
          <w:szCs w:val="24"/>
          <w:lang w:val="hr-HR"/>
        </w:rPr>
        <w:t xml:space="preserve">Negoslavci, </w:t>
      </w:r>
      <w:r>
        <w:rPr>
          <w:rFonts w:eastAsia="Calibri" w:cs="Times New Roman"/>
          <w:szCs w:val="24"/>
          <w:lang w:val="hr-HR"/>
        </w:rPr>
        <w:t>27.12.2022. godine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w:t>
      </w:r>
      <w:bookmarkStart w:id="0" w:name="_GoBack"/>
      <w:bookmarkEnd w:id="0"/>
      <w:r>
        <w:rPr>
          <w:rFonts w:eastAsia="Calibri" w:cs="Times New Roman"/>
          <w:szCs w:val="24"/>
          <w:lang w:val="hr-HR"/>
        </w:rPr>
        <w:t xml:space="preserve"> 1/21), Općinsko vijeće Općine Negoslavci na svojoj redovnoj sjednici održanoj dana 27.12.2021.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1" w:name="_Toc62727868"/>
      <w:r>
        <w:rPr>
          <w:rFonts w:eastAsia="Calibri" w:cs="Times New Roman"/>
          <w:b/>
          <w:szCs w:val="24"/>
          <w:lang w:val="hr-HR"/>
        </w:rPr>
        <w:t>Program održavanja komunalne infrastrukture za 2023. godinu</w:t>
      </w:r>
      <w:bookmarkEnd w:id="1"/>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 xml:space="preserve">Ovim Programom određuje se održavanje komunalne infrastrukture na području Općine Negoslavci za 2023. godinu, financijska sredstva potrebna za ostvarivanje ovog Programa i izvori financiranja po djelatnostima.  </w:t>
      </w:r>
    </w:p>
    <w:p>
      <w:pPr>
        <w:pStyle w:val="Normal"/>
        <w:bidi w:val="0"/>
        <w:ind w:left="720" w:hanging="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Održavanje komunalne infrastrukture se utvrđuje po djelatnostima kako slijedi (po fiksnom tečaju konverzije 1EUR=7,53450KN):</w:t>
      </w:r>
    </w:p>
    <w:p>
      <w:pPr>
        <w:pStyle w:val="Normal"/>
        <w:bidi w:val="0"/>
        <w:jc w:val="both"/>
        <w:rPr>
          <w:lang w:val="hr-HR"/>
        </w:rPr>
      </w:pPr>
      <w:r>
        <w:rPr>
          <w:b/>
          <w:lang w:val="hr-HR"/>
        </w:rPr>
        <w:t>1.</w:t>
      </w:r>
      <w:r>
        <w:rPr>
          <w:lang w:val="hr-HR"/>
        </w:rPr>
        <w:t xml:space="preserve"> održavanje nerazvrstanih cesta</w:t>
      </w:r>
    </w:p>
    <w:p>
      <w:pPr>
        <w:pStyle w:val="Normal"/>
        <w:bidi w:val="0"/>
        <w:jc w:val="both"/>
        <w:rPr>
          <w:lang w:val="hr-HR"/>
        </w:rPr>
      </w:pPr>
      <w:r>
        <w:rPr>
          <w:lang w:val="hr-HR"/>
        </w:rPr>
        <w:t>- Tekuće održavanje nerazvrstanih cesta i čišćenje snijega                     65.000,00 KN/8.626,98 EUR</w:t>
      </w:r>
    </w:p>
    <w:p>
      <w:pPr>
        <w:pStyle w:val="Normal"/>
        <w:bidi w:val="0"/>
        <w:jc w:val="both"/>
        <w:rPr/>
      </w:pPr>
      <w:r>
        <w:rPr>
          <w:b/>
        </w:rPr>
        <w:t>2.</w:t>
      </w:r>
      <w:r>
        <w:rPr/>
        <w:t xml:space="preserve"> održavanje javnih površina na kojima nije dopušten promet motornim vozilima</w:t>
      </w:r>
    </w:p>
    <w:p>
      <w:pPr>
        <w:pStyle w:val="Normal"/>
        <w:bidi w:val="0"/>
        <w:jc w:val="left"/>
        <w:rPr>
          <w:lang w:val="hr-HR"/>
        </w:rPr>
      </w:pPr>
      <w:r>
        <w:rPr>
          <w:lang w:val="hr-HR"/>
        </w:rPr>
        <w:t>- Sanacija pješačkih staza</w:t>
      </w:r>
      <w:r>
        <w:rPr>
          <w:color w:val="C9211E"/>
          <w:lang w:val="hr-HR"/>
        </w:rPr>
        <w:t xml:space="preserve">  </w:t>
      </w:r>
      <w:r>
        <w:rPr>
          <w:lang w:val="hr-HR"/>
        </w:rPr>
        <w:t xml:space="preserve">     </w:t>
        <w:tab/>
        <w:tab/>
        <w:tab/>
        <w:tab/>
        <w:tab/>
        <w:t xml:space="preserve">   300.000,00 KN/39.816,84 EUR</w:t>
      </w:r>
    </w:p>
    <w:p>
      <w:pPr>
        <w:pStyle w:val="Normal"/>
        <w:bidi w:val="0"/>
        <w:jc w:val="both"/>
        <w:rPr/>
      </w:pPr>
      <w:r>
        <w:rPr/>
        <w:t>- Uređenje centra općine-parking                                                        300.000,00 KN/39.816,84 EUR</w:t>
      </w:r>
    </w:p>
    <w:p>
      <w:pPr>
        <w:pStyle w:val="Normal"/>
        <w:bidi w:val="0"/>
        <w:jc w:val="both"/>
        <w:rPr/>
      </w:pPr>
      <w:r>
        <w:rPr>
          <w:b/>
        </w:rPr>
        <w:t>3.</w:t>
      </w:r>
      <w:r>
        <w:rPr/>
        <w:t xml:space="preserve"> održavanje građevina javne odvodnje oborinskih voda                                                              0,00</w:t>
      </w:r>
    </w:p>
    <w:p>
      <w:pPr>
        <w:pStyle w:val="Normal"/>
        <w:bidi w:val="0"/>
        <w:jc w:val="both"/>
        <w:rPr/>
      </w:pPr>
      <w:r>
        <w:rPr>
          <w:b/>
        </w:rPr>
        <w:t>4.</w:t>
      </w:r>
      <w:r>
        <w:rPr/>
        <w:t xml:space="preserve"> održavanje javnih zelenih površina</w:t>
      </w:r>
    </w:p>
    <w:p>
      <w:pPr>
        <w:pStyle w:val="Normal"/>
        <w:bidi w:val="0"/>
        <w:jc w:val="both"/>
        <w:rPr/>
      </w:pPr>
      <w:r>
        <w:rPr/>
        <w:t>- Održavanje javnih površina                                                                   15.000,00 KN/1.990,84 EUR</w:t>
      </w:r>
    </w:p>
    <w:p>
      <w:pPr>
        <w:pStyle w:val="Normal"/>
        <w:bidi w:val="0"/>
        <w:jc w:val="both"/>
        <w:rPr/>
      </w:pPr>
      <w:r>
        <w:rPr>
          <w:b/>
        </w:rPr>
        <w:t>5.</w:t>
      </w:r>
      <w:r>
        <w:rPr/>
        <w:t xml:space="preserve"> održavanje građevina, uređaja i predmeta javne namjene                                                           0,00</w:t>
      </w:r>
    </w:p>
    <w:p>
      <w:pPr>
        <w:pStyle w:val="Normal"/>
        <w:bidi w:val="0"/>
        <w:jc w:val="both"/>
        <w:rPr/>
      </w:pPr>
      <w:r>
        <w:rPr>
          <w:b/>
        </w:rPr>
        <w:t>6.</w:t>
      </w:r>
      <w:r>
        <w:rPr/>
        <w:t xml:space="preserve"> održavanje groblja i krematorija unutar groblja</w:t>
      </w:r>
    </w:p>
    <w:p>
      <w:pPr>
        <w:pStyle w:val="Normal"/>
        <w:bidi w:val="0"/>
        <w:jc w:val="both"/>
        <w:rPr/>
      </w:pPr>
      <w:r>
        <w:rPr/>
        <w:t>- Uređenje groblja i parking na groblju                                               250.000,00 KN/33.180,70 EUR</w:t>
      </w:r>
    </w:p>
    <w:p>
      <w:pPr>
        <w:pStyle w:val="Normal"/>
        <w:bidi w:val="0"/>
        <w:jc w:val="both"/>
        <w:rPr/>
      </w:pPr>
      <w:r>
        <w:rPr>
          <w:b/>
        </w:rPr>
        <w:t>7.</w:t>
      </w:r>
      <w:r>
        <w:rPr/>
        <w:t xml:space="preserve"> održavanje čistoće javnih površina                                                                                             0,00</w:t>
      </w:r>
    </w:p>
    <w:p>
      <w:pPr>
        <w:pStyle w:val="Normal"/>
        <w:bidi w:val="0"/>
        <w:jc w:val="both"/>
        <w:rPr/>
      </w:pPr>
      <w:r>
        <w:rPr>
          <w:b/>
        </w:rPr>
        <w:t>8.</w:t>
      </w:r>
      <w:r>
        <w:rPr/>
        <w:t xml:space="preserve"> održavanje javne rasvjete.</w:t>
      </w:r>
    </w:p>
    <w:p>
      <w:pPr>
        <w:pStyle w:val="Normal"/>
        <w:bidi w:val="0"/>
        <w:jc w:val="both"/>
        <w:rPr/>
      </w:pPr>
      <w:r>
        <w:rPr/>
        <w:t>- Održavanje javne rasvjeta                                                                 100.000,00 KN/</w:t>
      </w:r>
      <w:r>
        <w:rPr>
          <w:iCs/>
          <w:color w:val="000000"/>
        </w:rPr>
        <w:t>13.272.28</w:t>
      </w:r>
      <w:r>
        <w:rPr/>
        <w:t xml:space="preserve"> EUR</w:t>
      </w:r>
    </w:p>
    <w:p>
      <w:pPr>
        <w:pStyle w:val="Normal"/>
        <w:bidi w:val="0"/>
        <w:jc w:val="both"/>
        <w:rPr/>
      </w:pPr>
      <w:r>
        <w:rPr/>
        <w:t xml:space="preserve">- </w:t>
      </w:r>
      <w:r>
        <w:rPr>
          <w:iCs/>
          <w:color w:val="000000"/>
        </w:rPr>
        <w:t>Podmirenje troškova električne energije                                           100.000,00 KN/13.272.28 EUR</w:t>
      </w:r>
    </w:p>
    <w:p>
      <w:pPr>
        <w:pStyle w:val="Normal"/>
        <w:bidi w:val="0"/>
        <w:jc w:val="both"/>
        <w:rPr>
          <w:rFonts w:eastAsia="Calibri" w:cs="Times New Roman"/>
          <w:szCs w:val="24"/>
          <w:lang w:val="hr-HR"/>
        </w:rPr>
      </w:pPr>
      <w:r>
        <w:rPr>
          <w:b/>
        </w:rPr>
        <w:t>UKUPNO:</w:t>
      </w:r>
      <w:r>
        <w:rPr/>
        <w:t xml:space="preserve">       </w:t>
        <w:tab/>
        <w:tab/>
        <w:tab/>
        <w:tab/>
        <w:tab/>
        <w:tab/>
        <w:t xml:space="preserve">          1.130.000,00 KN/149.976,77 EUR</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w:t>
      </w:r>
      <w:r>
        <w:rPr>
          <w:rFonts w:eastAsia="Calibri" w:cs="Times New Roman"/>
          <w:bCs/>
          <w:color w:val="000000"/>
          <w:szCs w:val="24"/>
          <w:lang w:val="hr-HR"/>
        </w:rPr>
        <w:t xml:space="preserve">iznosi </w:t>
      </w:r>
      <w:r>
        <w:rPr>
          <w:rFonts w:eastAsia="Calibri" w:cs="Times New Roman"/>
          <w:bCs/>
          <w:iCs/>
          <w:color w:val="000000"/>
          <w:szCs w:val="24"/>
          <w:lang w:val="hr-HR"/>
        </w:rPr>
        <w:t>65.000,00 KN/8.626,98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iznosi 6</w:t>
      </w:r>
      <w:r>
        <w:rPr>
          <w:rFonts w:eastAsia="Calibri" w:cs="Times New Roman"/>
          <w:bCs/>
          <w:iCs/>
          <w:szCs w:val="24"/>
          <w:lang w:val="hr-HR"/>
        </w:rPr>
        <w:t>00.000,00 KN/79.633,69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15.000,00 KN/1.990,84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 xml:space="preserve"> 250.000,00 KN/33.180,70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200.000,00 KN/26.544,56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3.</w:t>
      </w:r>
    </w:p>
    <w:p>
      <w:pPr>
        <w:pStyle w:val="Normal"/>
        <w:bidi w:val="0"/>
        <w:jc w:val="both"/>
        <w:rPr>
          <w:rFonts w:eastAsia="Calibri" w:cs="Times New Roman"/>
          <w:szCs w:val="24"/>
          <w:lang w:val="hr-HR"/>
        </w:rPr>
      </w:pPr>
      <w:r>
        <w:rPr>
          <w:rFonts w:eastAsia="Calibri" w:cs="Times New Roman"/>
          <w:szCs w:val="24"/>
          <w:lang w:val="hr-HR"/>
        </w:rPr>
        <w:tab/>
        <w:t>Financijska sredstva za održavanje komunalne infrastrukture iz članka 2. u ukupnom iznosu od 1.130.000,00 KN/149.976,77 EUR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2945"/>
        <w:gridCol w:w="2779"/>
        <w:gridCol w:w="3626"/>
      </w:tblGrid>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390"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Tekuće održavanje nerazvrstanih cesta i čišćenje snijega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lang w:val="hr-HR"/>
              </w:rPr>
            </w:pPr>
            <w:r>
              <w:rPr>
                <w:rFonts w:eastAsia="Calibri" w:cs="Times New Roman"/>
                <w:szCs w:val="24"/>
                <w:lang w:val="hr-HR"/>
              </w:rPr>
              <w:t>65.000,00 KN/8.626,98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65.000,00 KN/8.626,98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 xml:space="preserve">Sanacija pješačkih staza </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300.000,00 KN/39.816,84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w:t>
            </w:r>
            <w:r>
              <w:rPr>
                <w:rFonts w:eastAsia="Calibri" w:cs="Times New Roman" w:ascii="Times New Roman" w:hAnsi="Times New Roman"/>
                <w:color w:val="000000"/>
                <w:kern w:val="0"/>
                <w:sz w:val="24"/>
                <w:szCs w:val="24"/>
                <w:lang w:val="hr-HR" w:eastAsia="en-US" w:bidi="ar-SA"/>
              </w:rPr>
              <w:t>o regionalnog razvoja i fondova EU</w:t>
            </w:r>
            <w:r>
              <w:rPr>
                <w:rFonts w:ascii="Times New Roman" w:hAnsi="Times New Roman"/>
                <w:color w:val="000000"/>
                <w:kern w:val="0"/>
                <w:sz w:val="24"/>
                <w:lang w:eastAsia="en-US" w:bidi="ar-SA"/>
              </w:rPr>
              <w:t xml:space="preserve"> 200.000,00 KN/26.544,56 EUR, Proračun 100.000,00 KN/13.272.28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općine-parking</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300.000,00 KN/</w:t>
            </w:r>
          </w:p>
          <w:p>
            <w:pPr>
              <w:pStyle w:val="Normal"/>
              <w:widowControl w:val="false"/>
              <w:bidi w:val="0"/>
              <w:jc w:val="both"/>
              <w:rPr/>
            </w:pPr>
            <w:r>
              <w:rPr>
                <w:rFonts w:eastAsia="Calibri" w:cs="Times New Roman"/>
                <w:szCs w:val="24"/>
                <w:lang w:val="hr-HR"/>
              </w:rPr>
              <w:t>39.816,84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Ministarstvo regionalnog razvoja i fondova E</w:t>
            </w:r>
            <w:r>
              <w:rPr>
                <w:rFonts w:eastAsia="Calibri" w:cs="Times New Roman" w:ascii="Times New Roman" w:hAnsi="Times New Roman"/>
                <w:color w:val="000000"/>
                <w:kern w:val="0"/>
                <w:sz w:val="24"/>
                <w:szCs w:val="24"/>
                <w:lang w:val="hr-HR" w:eastAsia="en-US" w:bidi="ar-SA"/>
              </w:rPr>
              <w:t>U 200.000,00 KN/26.544,56 EUR, Proračun 100.000,00 KN/13.272,28 EUR</w:t>
            </w:r>
          </w:p>
        </w:tc>
      </w:tr>
      <w:tr>
        <w:trPr>
          <w:trHeight w:val="40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 xml:space="preserve">Održavanje javnih površina </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15.000,00KN/1.990,84EUR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15.000,00 KN/1.990,84 EUR</w:t>
            </w:r>
          </w:p>
        </w:tc>
      </w:tr>
      <w:tr>
        <w:trPr>
          <w:trHeight w:val="409"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parkinga na groblju</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250.000,00KN/33.180,70EUR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250.000,00 KN/33.180,70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javne rasvjete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 xml:space="preserve">200.000,00KN/ </w:t>
            </w:r>
          </w:p>
          <w:p>
            <w:pPr>
              <w:pStyle w:val="Normal"/>
              <w:widowControl w:val="false"/>
              <w:bidi w:val="0"/>
              <w:jc w:val="both"/>
              <w:rPr/>
            </w:pPr>
            <w:r>
              <w:rPr>
                <w:rFonts w:eastAsia="Calibri" w:cs="Times New Roman"/>
                <w:bCs/>
                <w:color w:val="000000"/>
                <w:szCs w:val="24"/>
                <w:lang w:val="hr-HR"/>
              </w:rPr>
              <w:t>26.544,56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200.000,00KN/ </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bCs/>
                <w:color w:val="000000"/>
                <w:kern w:val="0"/>
                <w:sz w:val="24"/>
                <w:szCs w:val="24"/>
                <w:lang w:val="hr-HR" w:eastAsia="en-US" w:bidi="ar-SA"/>
              </w:rPr>
              <w:t>26.544,56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szCs w:val="24"/>
                <w:lang w:val="hr-HR"/>
              </w:rPr>
            </w:pPr>
            <w:r>
              <w:rPr>
                <w:rFonts w:eastAsia="Calibri" w:cs="Times New Roman"/>
                <w:szCs w:val="24"/>
                <w:lang w:val="hr-HR"/>
              </w:rPr>
              <w:t>1.130.000,00 KN/149.976,77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4.</w:t>
      </w:r>
    </w:p>
    <w:p>
      <w:pPr>
        <w:pStyle w:val="Normal"/>
        <w:widowControl w:val="false"/>
        <w:suppressAutoHyphens w:val="true"/>
        <w:bidi w:val="0"/>
        <w:spacing w:before="0" w:after="120"/>
        <w:jc w:val="both"/>
        <w:rPr>
          <w:rFonts w:eastAsia="Andale Sans UI" w:cs="Times New Roman"/>
          <w:kern w:val="2"/>
          <w:szCs w:val="24"/>
          <w:lang w:val="hr-HR" w:eastAsia="zh-CN"/>
        </w:rPr>
      </w:pPr>
      <w:r>
        <w:rPr>
          <w:rFonts w:eastAsia="Andale Sans UI" w:cs="Times New Roman"/>
          <w:kern w:val="2"/>
          <w:szCs w:val="24"/>
          <w:lang w:val="hr-HR" w:eastAsia="zh-CN"/>
        </w:rPr>
        <w:tab/>
        <w:t>Provedbene odluke u cilju realizacije ovoga programa donijeti će Općinski načelnik.</w:t>
      </w:r>
    </w:p>
    <w:p>
      <w:pPr>
        <w:pStyle w:val="Normal"/>
        <w:bidi w:val="0"/>
        <w:jc w:val="left"/>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5.</w:t>
      </w:r>
    </w:p>
    <w:p>
      <w:pPr>
        <w:pStyle w:val="Normal"/>
        <w:bidi w:val="0"/>
        <w:jc w:val="both"/>
        <w:rPr>
          <w:rFonts w:eastAsia="Calibri" w:cs="Times New Roman"/>
          <w:szCs w:val="24"/>
          <w:lang w:val="hr-HR"/>
        </w:rPr>
      </w:pPr>
      <w:r>
        <w:rPr>
          <w:rFonts w:eastAsia="Calibri" w:cs="Times New Roman"/>
          <w:szCs w:val="24"/>
          <w:lang w:val="hr-HR"/>
        </w:rPr>
        <w:tab/>
        <w:t>Ovaj Program stupa na snagu dan nakon dana objave u Službenom glasniku Općine Negoslavci, a primjenjuje se od 01.01.2023. godine.</w:t>
      </w:r>
    </w:p>
    <w:p>
      <w:pPr>
        <w:pStyle w:val="Normal"/>
        <w:bidi w:val="0"/>
        <w:jc w:val="right"/>
        <w:rPr>
          <w:rFonts w:eastAsia="Calibri" w:cs="Times New Roman"/>
          <w:b/>
          <w:b/>
          <w:szCs w:val="24"/>
          <w:lang w:val="hr-HR"/>
        </w:rPr>
      </w:pPr>
      <w:r>
        <w:rPr>
          <w:rFonts w:eastAsia="Calibri" w:cs="Times New Roman"/>
          <w:b/>
          <w:szCs w:val="24"/>
          <w:lang w:val="hr-HR"/>
        </w:rPr>
      </w:r>
    </w:p>
    <w:p>
      <w:pPr>
        <w:pStyle w:val="Normal"/>
        <w:bidi w:val="0"/>
        <w:jc w:val="right"/>
        <w:rPr>
          <w:rFonts w:eastAsia="Calibri" w:cs="Times New Roman"/>
          <w:b/>
          <w:b/>
          <w:szCs w:val="24"/>
          <w:lang w:val="hr-HR"/>
        </w:rPr>
      </w:pPr>
      <w:r>
        <w:rPr>
          <w:rFonts w:eastAsia="Calibri" w:cs="Times New Roman"/>
          <w:b/>
          <w:szCs w:val="24"/>
          <w:lang w:val="hr-HR"/>
        </w:rPr>
        <w:t>PREDSJEDNIK OPĆINSKOG VIJEĆA</w:t>
      </w:r>
    </w:p>
    <w:p>
      <w:pPr>
        <w:pStyle w:val="Normal"/>
        <w:bidi w:val="0"/>
        <w:jc w:val="right"/>
        <w:rPr>
          <w:rFonts w:eastAsia="Calibri" w:cs="Times New Roman"/>
          <w:b/>
          <w:b/>
          <w:szCs w:val="24"/>
          <w:lang w:val="hr-HR"/>
        </w:rPr>
      </w:pPr>
      <w:r>
        <w:rPr>
          <w:rFonts w:eastAsia="Calibri" w:cs="Times New Roman"/>
          <w:szCs w:val="24"/>
          <w:lang w:val="hr-HR"/>
        </w:rPr>
        <w:t>Miodrag Mišanović</w:t>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3</w:t>
    </w:r>
    <w:r>
      <w:rPr/>
      <w:fldChar w:fldCharType="end"/>
    </w:r>
  </w:p>
</w:ftr>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LibreOffice/7.4.1.2$Windows_X86_64 LibreOffice_project/3c58a8f3a960df8bc8fd77b461821e42c061c5f0</Application>
  <AppVersion>15.0000</AppVersion>
  <Pages>5</Pages>
  <Words>1045</Words>
  <Characters>7146</Characters>
  <CharactersWithSpaces>8662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2022-12-30T10:04:39Z</dcterms:created>
  <dc:creator/>
  <dc:description/>
  <dc:language>hr-HR</dc:language>
  <cp:lastModifiedBy/>
  <dcterms:modified xsi:type="dcterms:W3CDTF">2023-01-12T14:21:17Z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