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eastAsia="Calibri" w:cs="Times New Roman"/>
          <w:b/>
          <w:b/>
          <w:szCs w:val="24"/>
          <w:lang w:val="hr-HR"/>
        </w:rPr>
      </w:pPr>
      <w:r>
        <w:rPr>
          <w:rFonts w:eastAsia="Calibri" w:cs="Times New Roman"/>
          <w:b/>
          <w:szCs w:val="24"/>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bidi w:val="0"/>
        <w:jc w:val="both"/>
        <w:rPr>
          <w:rFonts w:eastAsia="Calibri" w:cs="Times New Roman"/>
          <w:b/>
          <w:b/>
          <w:szCs w:val="24"/>
          <w:lang w:val="hr-HR"/>
        </w:rPr>
      </w:pPr>
      <w:r>
        <w:rPr>
          <w:rFonts w:eastAsia="Calibri" w:cs="Times New Roman"/>
          <w:b/>
          <w:szCs w:val="24"/>
          <w:lang w:val="hr-HR"/>
        </w:rPr>
        <w:tab/>
        <w:t>REPUBLIKA HRVATSKA</w:t>
      </w:r>
    </w:p>
    <w:p>
      <w:pPr>
        <w:pStyle w:val="Normal"/>
        <w:bidi w:val="0"/>
        <w:jc w:val="both"/>
        <w:rPr>
          <w:rFonts w:eastAsia="Calibri" w:cs="Times New Roman"/>
          <w:b/>
          <w:b/>
          <w:szCs w:val="24"/>
          <w:lang w:val="hr-HR"/>
        </w:rPr>
      </w:pPr>
      <w:r>
        <w:rPr>
          <w:rFonts w:eastAsia="Calibri" w:cs="Times New Roman"/>
          <w:b/>
          <w:szCs w:val="24"/>
          <w:lang w:val="hr-HR"/>
        </w:rPr>
        <w:t>VUKOVARSKO-SRIJEMSKA ŽUPANIJA</w:t>
      </w:r>
    </w:p>
    <w:p>
      <w:pPr>
        <w:pStyle w:val="Normal"/>
        <w:bidi w:val="0"/>
        <w:jc w:val="both"/>
        <w:rPr>
          <w:rFonts w:eastAsia="Calibri" w:cs="Times New Roman"/>
          <w:b/>
          <w:b/>
          <w:szCs w:val="24"/>
          <w:lang w:val="hr-HR"/>
        </w:rPr>
      </w:pPr>
      <w:r>
        <w:rPr>
          <w:rFonts w:eastAsia="Calibri" w:cs="Times New Roman"/>
          <w:b/>
          <w:szCs w:val="24"/>
          <w:lang w:val="hr-HR"/>
        </w:rPr>
        <w:t>OPĆINA NEGOSLAVCI</w:t>
      </w:r>
    </w:p>
    <w:p>
      <w:pPr>
        <w:pStyle w:val="Normal"/>
        <w:bidi w:val="0"/>
        <w:jc w:val="both"/>
        <w:rPr>
          <w:rFonts w:eastAsia="Calibri" w:cs="Times New Roman"/>
          <w:b/>
          <w:b/>
          <w:szCs w:val="24"/>
          <w:lang w:val="hr-HR"/>
        </w:rPr>
      </w:pPr>
      <w:r>
        <w:rPr>
          <w:rFonts w:eastAsia="Calibri" w:cs="Times New Roman"/>
          <w:b/>
          <w:szCs w:val="24"/>
          <w:lang w:val="hr-HR"/>
        </w:rPr>
        <w:t>Općinsko vijeće</w:t>
      </w:r>
    </w:p>
    <w:p>
      <w:pPr>
        <w:pStyle w:val="Normal"/>
        <w:bidi w:val="0"/>
        <w:jc w:val="both"/>
        <w:rPr>
          <w:rFonts w:eastAsia="Calibri" w:cs="Times New Roman"/>
          <w:szCs w:val="24"/>
          <w:lang w:val="hr-HR"/>
        </w:rPr>
      </w:pPr>
      <w:r>
        <w:rPr>
          <w:rFonts w:eastAsia="Calibri" w:cs="Times New Roman"/>
          <w:b/>
          <w:szCs w:val="24"/>
          <w:lang w:val="hr-HR"/>
        </w:rPr>
        <w:t xml:space="preserve">KLASA: </w:t>
      </w:r>
      <w:r>
        <w:rPr>
          <w:rFonts w:eastAsia="Calibri" w:cs="Times New Roman"/>
          <w:szCs w:val="24"/>
          <w:lang w:val="hr-HR"/>
        </w:rPr>
        <w:t>400-08/21-01/01</w:t>
      </w:r>
    </w:p>
    <w:p>
      <w:pPr>
        <w:pStyle w:val="Normal"/>
        <w:bidi w:val="0"/>
        <w:jc w:val="both"/>
        <w:rPr>
          <w:rFonts w:eastAsia="Calibri" w:cs="Times New Roman"/>
          <w:szCs w:val="24"/>
          <w:lang w:val="hr-HR"/>
        </w:rPr>
      </w:pPr>
      <w:r>
        <w:rPr>
          <w:rFonts w:eastAsia="Calibri" w:cs="Times New Roman"/>
          <w:b/>
          <w:szCs w:val="24"/>
          <w:lang w:val="hr-HR"/>
        </w:rPr>
        <w:t xml:space="preserve">URBROJ: </w:t>
      </w:r>
      <w:r>
        <w:rPr>
          <w:rFonts w:eastAsia="Calibri" w:cs="Times New Roman"/>
          <w:szCs w:val="24"/>
          <w:lang w:val="hr-HR"/>
        </w:rPr>
        <w:t>2196-19-0</w:t>
      </w:r>
      <w:r>
        <w:rPr>
          <w:rFonts w:eastAsia="Calibri" w:cs="Times New Roman"/>
          <w:color w:val="000000"/>
          <w:szCs w:val="24"/>
          <w:lang w:val="hr-HR"/>
        </w:rPr>
        <w:t>2-22-26</w:t>
      </w:r>
    </w:p>
    <w:p>
      <w:pPr>
        <w:pStyle w:val="Normal"/>
        <w:bidi w:val="0"/>
        <w:jc w:val="both"/>
        <w:rPr>
          <w:rFonts w:eastAsia="Calibri" w:cs="Times New Roman"/>
          <w:szCs w:val="24"/>
          <w:lang w:val="hr-HR"/>
        </w:rPr>
      </w:pPr>
      <w:r>
        <w:rPr>
          <w:rFonts w:eastAsia="Calibri" w:cs="Times New Roman"/>
          <w:b/>
          <w:szCs w:val="24"/>
          <w:lang w:val="hr-HR"/>
        </w:rPr>
        <w:t>Negosla</w:t>
      </w:r>
      <w:r>
        <w:rPr>
          <w:rFonts w:eastAsia="Calibri" w:cs="Times New Roman"/>
          <w:b/>
          <w:color w:val="000000"/>
          <w:szCs w:val="24"/>
          <w:lang w:val="hr-HR"/>
        </w:rPr>
        <w:t xml:space="preserve">vci, </w:t>
      </w:r>
      <w:r>
        <w:rPr>
          <w:rFonts w:eastAsia="Calibri" w:cs="Times New Roman"/>
          <w:b w:val="false"/>
          <w:bCs w:val="false"/>
          <w:color w:val="000000"/>
          <w:szCs w:val="24"/>
          <w:lang w:val="hr-HR"/>
        </w:rPr>
        <w:t>27.</w:t>
      </w:r>
      <w:r>
        <w:rPr>
          <w:rFonts w:eastAsia="Calibri" w:cs="Times New Roman"/>
          <w:color w:val="000000"/>
          <w:szCs w:val="24"/>
          <w:lang w:val="hr-HR"/>
        </w:rPr>
        <w:t>12.20</w:t>
      </w:r>
      <w:r>
        <w:rPr>
          <w:rFonts w:eastAsia="Calibri" w:cs="Times New Roman"/>
          <w:szCs w:val="24"/>
          <w:lang w:val="hr-HR"/>
        </w:rPr>
        <w:t>22. godine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 1/21), Općinsko vijeće Općine Negoslavci na svojoj redovnoj sjednici održanoj</w:t>
      </w:r>
      <w:r>
        <w:rPr>
          <w:rFonts w:eastAsia="Calibri" w:cs="Times New Roman"/>
          <w:color w:val="000000"/>
          <w:szCs w:val="24"/>
          <w:lang w:val="hr-HR"/>
        </w:rPr>
        <w:t xml:space="preserve"> dana 27.12.202</w:t>
      </w:r>
      <w:r>
        <w:rPr>
          <w:rFonts w:eastAsia="Calibri" w:cs="Times New Roman"/>
          <w:szCs w:val="24"/>
          <w:lang w:val="hr-HR"/>
        </w:rPr>
        <w:t>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0" w:name="_Toc62727868"/>
      <w:r>
        <w:rPr>
          <w:rFonts w:eastAsia="Calibri" w:cs="Times New Roman"/>
          <w:b/>
          <w:szCs w:val="24"/>
          <w:lang w:val="hr-HR"/>
        </w:rPr>
        <w:t>Izmjene i dopune Programa održavanja komunalne infrastrukture za 2022. godinu</w:t>
      </w:r>
      <w:bookmarkEnd w:id="0"/>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U Programu održavanja komunalne infrastrukture za 2022. godinu članak 2. („Službeni glasnik Općine Negoslavci“ broj 07/21, 3/22 i 6/22)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Održavanje komunalne infrastrukture se utvrđuje po djelatnostima kako slijedi (po fiksnom tečaju 1,00 EUR = 7,53450 KN):</w:t>
      </w:r>
    </w:p>
    <w:p>
      <w:pPr>
        <w:pStyle w:val="Normal"/>
        <w:bidi w:val="0"/>
        <w:jc w:val="both"/>
        <w:rPr>
          <w:iCs/>
          <w:lang w:val="hr-HR"/>
        </w:rPr>
      </w:pPr>
      <w:r>
        <w:rPr>
          <w:b/>
          <w:iCs/>
          <w:lang w:val="hr-HR"/>
        </w:rPr>
        <w:t>1.</w:t>
      </w:r>
      <w:r>
        <w:rPr>
          <w:iCs/>
          <w:lang w:val="hr-HR"/>
        </w:rPr>
        <w:t xml:space="preserve"> održavanje nerazvrstanih cesta,</w:t>
      </w:r>
    </w:p>
    <w:p>
      <w:pPr>
        <w:pStyle w:val="Normal"/>
        <w:bidi w:val="0"/>
        <w:jc w:val="both"/>
        <w:rPr>
          <w:iCs/>
          <w:lang w:val="hr-HR"/>
        </w:rPr>
      </w:pPr>
      <w:r>
        <w:rPr>
          <w:iCs/>
          <w:lang w:val="hr-HR"/>
        </w:rPr>
        <w:tab/>
        <w:t>- Održavanje nerazvrstanih cesta (sanacija) – cesta u Željezničkoj ulici k.č. 1945, k.o. Negoslavci                                                                                           400.000,00 KN/53.089,12 EUR</w:t>
      </w:r>
    </w:p>
    <w:p>
      <w:pPr>
        <w:pStyle w:val="Normal"/>
        <w:bidi w:val="0"/>
        <w:jc w:val="both"/>
        <w:rPr>
          <w:iCs/>
          <w:lang w:val="hr-HR"/>
        </w:rPr>
      </w:pPr>
      <w:r>
        <w:rPr>
          <w:iCs/>
          <w:lang w:val="hr-HR"/>
        </w:rPr>
        <w:tab/>
        <w:t xml:space="preserve">- Tekuće održavanje nerazvrstanih cesta i čišćenje snijega                                                 </w:t>
      </w:r>
      <w:r>
        <w:rPr>
          <w:iCs/>
          <w:color w:val="000000"/>
          <w:lang w:val="hr-HR"/>
        </w:rPr>
        <w:t>0,00</w:t>
      </w:r>
    </w:p>
    <w:p>
      <w:pPr>
        <w:pStyle w:val="Normal"/>
        <w:bidi w:val="0"/>
        <w:jc w:val="both"/>
        <w:rPr>
          <w:iCs/>
        </w:rPr>
      </w:pPr>
      <w:r>
        <w:rPr>
          <w:b/>
          <w:iCs/>
        </w:rPr>
        <w:t>2.</w:t>
      </w:r>
      <w:r>
        <w:rPr>
          <w:iCs/>
        </w:rPr>
        <w:t xml:space="preserve"> održavanje javnih površina na kojima nije dopušten promet motornim vozilima</w:t>
      </w:r>
    </w:p>
    <w:p>
      <w:pPr>
        <w:pStyle w:val="Normal"/>
        <w:bidi w:val="0"/>
        <w:jc w:val="both"/>
        <w:rPr>
          <w:iCs/>
        </w:rPr>
      </w:pPr>
      <w:r>
        <w:rPr>
          <w:iCs/>
        </w:rPr>
        <w:tab/>
        <w:t>- Uređenje centra općine (sanacija)                                         100.000,00 KN/13.272,28 EUR</w:t>
      </w:r>
    </w:p>
    <w:p>
      <w:pPr>
        <w:pStyle w:val="Normal"/>
        <w:bidi w:val="0"/>
        <w:jc w:val="both"/>
        <w:rPr>
          <w:iCs/>
        </w:rPr>
      </w:pPr>
      <w:r>
        <w:rPr>
          <w:b/>
          <w:iCs/>
        </w:rPr>
        <w:t>3.</w:t>
      </w:r>
      <w:r>
        <w:rPr>
          <w:iCs/>
        </w:rPr>
        <w:t xml:space="preserve"> održavanje javnih zelenih površina</w:t>
      </w:r>
    </w:p>
    <w:p>
      <w:pPr>
        <w:pStyle w:val="Normal"/>
        <w:bidi w:val="0"/>
        <w:jc w:val="both"/>
        <w:rPr>
          <w:iCs/>
        </w:rPr>
      </w:pPr>
      <w:r>
        <w:rPr>
          <w:iCs/>
        </w:rPr>
        <w:tab/>
        <w:t>-  Održavanje javnih površina                                                      17.000,00 KN/2.256,29 EUR</w:t>
      </w:r>
    </w:p>
    <w:p>
      <w:pPr>
        <w:pStyle w:val="Normal"/>
        <w:bidi w:val="0"/>
        <w:jc w:val="both"/>
        <w:rPr>
          <w:iCs/>
        </w:rPr>
      </w:pPr>
      <w:r>
        <w:rPr>
          <w:b/>
          <w:iCs/>
        </w:rPr>
        <w:t>4.</w:t>
      </w:r>
      <w:r>
        <w:rPr>
          <w:iCs/>
        </w:rPr>
        <w:t xml:space="preserve"> održavanje groblja i krematorija unutar groblja</w:t>
      </w:r>
    </w:p>
    <w:p>
      <w:pPr>
        <w:pStyle w:val="Normal"/>
        <w:bidi w:val="0"/>
        <w:jc w:val="both"/>
        <w:rPr>
          <w:iCs/>
        </w:rPr>
      </w:pPr>
      <w:r>
        <w:rPr>
          <w:iCs/>
        </w:rPr>
        <w:tab/>
        <w:t>- Uređenje groblja i kapele na groblju                                     450.000,00 KN/59.725,26 EUR</w:t>
      </w:r>
    </w:p>
    <w:p>
      <w:pPr>
        <w:pStyle w:val="Normal"/>
        <w:bidi w:val="0"/>
        <w:jc w:val="both"/>
        <w:rPr>
          <w:iCs/>
        </w:rPr>
      </w:pPr>
      <w:r>
        <w:rPr>
          <w:b/>
          <w:iCs/>
        </w:rPr>
        <w:t>5.</w:t>
      </w:r>
      <w:r>
        <w:rPr>
          <w:iCs/>
        </w:rPr>
        <w:t xml:space="preserve"> održavanje javne rasvjete</w:t>
      </w:r>
    </w:p>
    <w:p>
      <w:pPr>
        <w:pStyle w:val="Normal"/>
        <w:bidi w:val="0"/>
        <w:jc w:val="both"/>
        <w:rPr>
          <w:iCs/>
        </w:rPr>
      </w:pPr>
      <w:r>
        <w:rPr>
          <w:iCs/>
        </w:rPr>
        <w:tab/>
        <w:t xml:space="preserve">- Upravljanje i održavanje javne rasvjete                                   </w:t>
      </w:r>
      <w:r>
        <w:rPr>
          <w:iCs/>
          <w:color w:val="000000"/>
        </w:rPr>
        <w:t xml:space="preserve"> 30.000,00 KN/3.981,68 EUR</w:t>
      </w:r>
    </w:p>
    <w:p>
      <w:pPr>
        <w:pStyle w:val="Normal"/>
        <w:bidi w:val="0"/>
        <w:ind w:left="709" w:hanging="0"/>
        <w:jc w:val="both"/>
        <w:rPr>
          <w:color w:val="000000"/>
        </w:rPr>
      </w:pPr>
      <w:r>
        <w:rPr>
          <w:iCs/>
          <w:color w:val="000000"/>
        </w:rPr>
        <w:t>- Podmirenje troškova električne energije                               100.000,00 KN/13.272.28 EUR</w:t>
      </w:r>
    </w:p>
    <w:p>
      <w:pPr>
        <w:pStyle w:val="Normal"/>
        <w:bidi w:val="0"/>
        <w:jc w:val="both"/>
        <w:rPr>
          <w:rFonts w:eastAsia="Calibri" w:cs="Times New Roman"/>
          <w:iCs/>
          <w:szCs w:val="24"/>
          <w:lang w:val="hr-HR"/>
        </w:rPr>
      </w:pPr>
      <w:r>
        <w:rPr>
          <w:b/>
          <w:iCs/>
        </w:rPr>
        <w:t>UKUPNO:</w:t>
      </w:r>
      <w:r>
        <w:rPr>
          <w:iCs/>
        </w:rPr>
        <w:t xml:space="preserve">       </w:t>
        <w:tab/>
        <w:tab/>
        <w:tab/>
        <w:tab/>
        <w:tab/>
        <w:tab/>
        <w:t xml:space="preserve">       </w:t>
      </w:r>
      <w:r>
        <w:rPr>
          <w:iCs/>
          <w:color w:val="000000"/>
        </w:rPr>
        <w:t xml:space="preserve">   </w:t>
      </w:r>
      <w:r>
        <w:rPr>
          <w:iCs/>
          <w:color w:val="000000"/>
        </w:rPr>
        <w:t>1.</w:t>
      </w:r>
      <w:r>
        <w:rPr>
          <w:iCs/>
          <w:color w:val="000000"/>
        </w:rPr>
        <w:t>097</w:t>
      </w:r>
      <w:r>
        <w:rPr>
          <w:iCs/>
          <w:color w:val="000000"/>
        </w:rPr>
        <w:t>.000,00 KN/145.596,92 EU</w:t>
      </w:r>
      <w:r>
        <w:rPr>
          <w:rFonts w:eastAsia="Calibri" w:cs="Times New Roman"/>
          <w:iCs/>
          <w:color w:val="000000"/>
          <w:szCs w:val="24"/>
          <w:lang w:val="hr-HR"/>
        </w:rPr>
        <w:t>R</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w:t>
      </w:r>
      <w:r>
        <w:rPr>
          <w:rFonts w:eastAsia="Calibri" w:cs="Times New Roman"/>
          <w:bCs/>
          <w:color w:val="000000"/>
          <w:szCs w:val="24"/>
          <w:lang w:val="hr-HR"/>
        </w:rPr>
        <w:t xml:space="preserve">osi </w:t>
      </w:r>
      <w:r>
        <w:rPr>
          <w:rFonts w:eastAsia="Calibri" w:cs="Times New Roman"/>
          <w:bCs/>
          <w:color w:val="000000"/>
          <w:szCs w:val="24"/>
          <w:lang w:val="hr-HR"/>
        </w:rPr>
        <w:t>4</w:t>
      </w:r>
      <w:r>
        <w:rPr>
          <w:rFonts w:eastAsia="Calibri" w:cs="Times New Roman"/>
          <w:bCs/>
          <w:color w:val="000000"/>
          <w:szCs w:val="24"/>
          <w:lang w:val="hr-HR"/>
        </w:rPr>
        <w:t>00</w:t>
      </w:r>
      <w:r>
        <w:rPr>
          <w:rFonts w:eastAsia="Calibri" w:cs="Times New Roman"/>
          <w:bCs/>
          <w:color w:val="000000"/>
          <w:szCs w:val="24"/>
          <w:lang w:val="hr-HR"/>
        </w:rPr>
        <w:t>.000,00 KN/</w:t>
      </w:r>
      <w:r>
        <w:rPr>
          <w:rFonts w:eastAsia="Calibri" w:cs="Times New Roman"/>
          <w:bCs/>
          <w:iCs/>
          <w:color w:val="000000"/>
          <w:szCs w:val="24"/>
          <w:lang w:val="hr-HR"/>
        </w:rPr>
        <w:t>53.089,12 EUR</w:t>
      </w:r>
      <w:r>
        <w:rPr>
          <w:rFonts w:eastAsia="Calibri" w:cs="Times New Roman"/>
          <w:bCs/>
          <w:color w:val="000000"/>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2021/2022 (period od 15.11.2021.godine do 15.03.2022.godine) i Operativnog programa održavanja nerazvrstanih cesta u zimskom razdoblju u sezoni 2022/2023 (period od 15.11.2022. godine do 15.03.2023. 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radova iznosi </w:t>
      </w:r>
      <w:r>
        <w:rPr>
          <w:rFonts w:eastAsia="Calibri" w:cs="Times New Roman"/>
          <w:bCs/>
          <w:iCs/>
          <w:szCs w:val="24"/>
          <w:lang w:val="hr-HR"/>
        </w:rPr>
        <w:t>100.000,00 KN/13.272,28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17.000,00 KN/2.256,29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450.000,00 KN/</w:t>
      </w:r>
      <w:r>
        <w:rPr>
          <w:rFonts w:eastAsia="Calibri" w:cs="Times New Roman"/>
          <w:bCs/>
          <w:iCs/>
          <w:szCs w:val="24"/>
          <w:lang w:val="hr-HR"/>
        </w:rPr>
        <w:t>59.725,26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130.000,00 KN/17.253,97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održavanja komunalne infrastrukture za 2022. godinu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 xml:space="preserve">Financijska sredstva za održavanje komunalne infrastrukture iz članka 1. u ukupnom iznosu od </w:t>
      </w:r>
      <w:r>
        <w:rPr>
          <w:rFonts w:eastAsia="Calibri" w:cs="Times New Roman" w:ascii="Times New Roman" w:hAnsi="Times New Roman"/>
          <w:iCs/>
          <w:color w:val="000000"/>
          <w:kern w:val="0"/>
          <w:sz w:val="24"/>
          <w:szCs w:val="24"/>
          <w:lang w:val="hr-HR" w:eastAsia="en-US" w:bidi="ar-SA"/>
        </w:rPr>
        <w:t>1.</w:t>
      </w:r>
      <w:r>
        <w:rPr>
          <w:rFonts w:eastAsia="Calibri" w:cs="Times New Roman" w:ascii="Times New Roman" w:hAnsi="Times New Roman"/>
          <w:iCs/>
          <w:color w:val="000000"/>
          <w:kern w:val="0"/>
          <w:sz w:val="24"/>
          <w:szCs w:val="24"/>
          <w:lang w:val="hr-HR" w:eastAsia="en-US" w:bidi="ar-SA"/>
        </w:rPr>
        <w:t>097</w:t>
      </w:r>
      <w:r>
        <w:rPr>
          <w:rFonts w:eastAsia="Calibri" w:cs="Times New Roman" w:ascii="Times New Roman" w:hAnsi="Times New Roman"/>
          <w:iCs/>
          <w:color w:val="000000"/>
          <w:kern w:val="0"/>
          <w:sz w:val="24"/>
          <w:szCs w:val="24"/>
          <w:lang w:val="hr-HR" w:eastAsia="en-US" w:bidi="ar-SA"/>
        </w:rPr>
        <w:t>.000,00 KN/145.596,92 EUR</w:t>
      </w:r>
      <w:r>
        <w:rPr>
          <w:rFonts w:eastAsia="Calibri" w:cs="Times New Roman"/>
          <w:iCs/>
          <w:szCs w:val="24"/>
          <w:lang w:val="hr-HR"/>
        </w:rPr>
        <w:t xml:space="preserve"> osigurat će se iz sljedećih izvora.</w:t>
      </w:r>
    </w:p>
    <w:tbl>
      <w:tblPr>
        <w:tblStyle w:val="Reetkatablice"/>
        <w:tblW w:w="9350" w:type="dxa"/>
        <w:jc w:val="left"/>
        <w:tblInd w:w="-6"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Izvršenje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Potrebna sredstva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Izvori financiranja i iznosi</w:t>
            </w:r>
          </w:p>
        </w:tc>
      </w:tr>
      <w:tr>
        <w:trPr>
          <w:trHeight w:val="562"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Održavanje nerazvrstanih cesta (sanacija) – cesta u Željezničkoj ulici k.č. 1945, k.o. Negoslavci</w:t>
            </w:r>
          </w:p>
          <w:p>
            <w:pPr>
              <w:pStyle w:val="Normal"/>
              <w:widowControl w:val="false"/>
              <w:bidi w:val="0"/>
              <w:spacing w:before="0" w:after="0"/>
              <w:jc w:val="left"/>
              <w:rPr>
                <w:rFonts w:eastAsia="Calibri" w:cs="Times New Roman"/>
                <w:sz w:val="22"/>
                <w:szCs w:val="22"/>
                <w:lang w:val="hr-HR"/>
              </w:rPr>
            </w:pPr>
            <w:r>
              <w:rPr>
                <w:rFonts w:eastAsia="Calibri" w:cs="Times New Roman"/>
                <w:sz w:val="22"/>
                <w:szCs w:val="22"/>
                <w:lang w:val="hr-HR"/>
              </w:rPr>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400.000,00 KN/</w:t>
            </w:r>
            <w:r>
              <w:rPr>
                <w:rFonts w:eastAsia="Calibri" w:cs="Times New Roman" w:ascii="Times New Roman" w:hAnsi="Times New Roman"/>
                <w:iCs/>
                <w:kern w:val="0"/>
                <w:sz w:val="22"/>
                <w:szCs w:val="22"/>
                <w:lang w:val="hr-HR" w:eastAsia="en-US" w:bidi="ar-SA"/>
              </w:rPr>
              <w:t>53.089,12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 xml:space="preserve">Kapitalne pomoći – Ministarstvo regionalnog razvoja i fondova EU </w:t>
            </w:r>
            <w:r>
              <w:rPr>
                <w:rFonts w:eastAsia="Calibri" w:cs="Times New Roman" w:ascii="Times New Roman" w:hAnsi="Times New Roman"/>
                <w:kern w:val="0"/>
                <w:sz w:val="22"/>
                <w:szCs w:val="22"/>
                <w:lang w:val="hr-HR" w:eastAsia="en-US" w:bidi="ar-SA"/>
              </w:rPr>
              <w:t>150</w:t>
            </w:r>
            <w:r>
              <w:rPr>
                <w:rFonts w:eastAsia="Calibri" w:cs="Times New Roman" w:ascii="Times New Roman" w:hAnsi="Times New Roman"/>
                <w:kern w:val="0"/>
                <w:sz w:val="22"/>
                <w:szCs w:val="22"/>
                <w:lang w:val="hr-HR" w:eastAsia="en-US" w:bidi="ar-SA"/>
              </w:rPr>
              <w:t>.000,00 KN/19.908,42 EUR</w:t>
            </w:r>
          </w:p>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 xml:space="preserve">Opći prihodi i primitci </w:t>
            </w:r>
            <w:r>
              <w:rPr>
                <w:rFonts w:eastAsia="Calibri" w:cs="Times New Roman" w:ascii="Times New Roman" w:hAnsi="Times New Roman"/>
                <w:kern w:val="0"/>
                <w:sz w:val="22"/>
                <w:szCs w:val="22"/>
                <w:lang w:val="hr-HR" w:eastAsia="en-US" w:bidi="ar-SA"/>
              </w:rPr>
              <w:t>25</w:t>
            </w:r>
            <w:r>
              <w:rPr>
                <w:rFonts w:eastAsia="Calibri" w:cs="Times New Roman" w:ascii="Times New Roman" w:hAnsi="Times New Roman"/>
                <w:kern w:val="0"/>
                <w:sz w:val="22"/>
                <w:szCs w:val="22"/>
                <w:lang w:val="hr-HR" w:eastAsia="en-US" w:bidi="ar-SA"/>
              </w:rPr>
              <w:t>0.000,00 KN/33.180,7</w:t>
            </w:r>
            <w:r>
              <w:rPr>
                <w:rFonts w:eastAsia="Calibri" w:cs="Times New Roman" w:ascii="Times New Roman" w:hAnsi="Times New Roman"/>
                <w:kern w:val="0"/>
                <w:sz w:val="22"/>
                <w:szCs w:val="22"/>
                <w:lang w:val="hr-HR" w:eastAsia="en-US" w:bidi="ar-SA"/>
              </w:rPr>
              <w:t>0</w:t>
            </w:r>
            <w:r>
              <w:rPr>
                <w:rFonts w:eastAsia="Calibri" w:cs="Times New Roman" w:ascii="Times New Roman" w:hAnsi="Times New Roman"/>
                <w:kern w:val="0"/>
                <w:sz w:val="22"/>
                <w:szCs w:val="22"/>
                <w:lang w:val="hr-HR" w:eastAsia="en-US" w:bidi="ar-SA"/>
              </w:rPr>
              <w:t xml:space="preserve"> EUR</w:t>
            </w:r>
          </w:p>
          <w:p>
            <w:pPr>
              <w:pStyle w:val="Normal"/>
              <w:widowControl w:val="false"/>
              <w:bidi w:val="0"/>
              <w:spacing w:before="0" w:after="0"/>
              <w:jc w:val="left"/>
              <w:rPr>
                <w:rFonts w:eastAsia="Calibri" w:cs="Times New Roman"/>
                <w:sz w:val="22"/>
                <w:szCs w:val="22"/>
                <w:lang w:val="hr-HR"/>
              </w:rPr>
            </w:pPr>
            <w:r>
              <w:rPr>
                <w:rFonts w:eastAsia="Calibri" w:cs="Times New Roman"/>
                <w:sz w:val="22"/>
                <w:szCs w:val="22"/>
                <w:lang w:val="hr-HR"/>
              </w:rPr>
            </w:r>
          </w:p>
        </w:tc>
      </w:tr>
      <w:tr>
        <w:trPr>
          <w:trHeight w:val="390"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Tekuće održavanje nerazvrstanih cesta i čišćenje snijega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0,00</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iCs/>
                <w:kern w:val="0"/>
                <w:sz w:val="22"/>
                <w:szCs w:val="22"/>
                <w:lang w:val="hr-HR" w:eastAsia="en-US" w:bidi="ar-SA"/>
              </w:rPr>
              <w:t>0,00</w:t>
            </w:r>
          </w:p>
        </w:tc>
      </w:tr>
      <w:tr>
        <w:trPr>
          <w:trHeight w:val="97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Uređenje centra općine (sanacija)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100.000,00 KN/</w:t>
            </w:r>
            <w:r>
              <w:rPr>
                <w:rFonts w:eastAsia="Calibri" w:cs="Times New Roman" w:ascii="Times New Roman" w:hAnsi="Times New Roman"/>
                <w:bCs/>
                <w:iCs/>
                <w:kern w:val="0"/>
                <w:sz w:val="22"/>
                <w:szCs w:val="22"/>
                <w:lang w:val="hr-HR" w:eastAsia="en-US" w:bidi="ar-SA"/>
              </w:rPr>
              <w:t>13.272,28</w:t>
            </w:r>
            <w:r>
              <w:rPr>
                <w:rFonts w:eastAsia="Calibri" w:cs="Times New Roman" w:ascii="Times New Roman" w:hAnsi="Times New Roman"/>
                <w:iCs/>
                <w:kern w:val="0"/>
                <w:sz w:val="22"/>
                <w:szCs w:val="22"/>
                <w:lang w:val="hr-HR" w:eastAsia="en-US" w:bidi="ar-SA"/>
              </w:rPr>
              <w:t xml:space="preserve">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sz w:val="22"/>
                <w:szCs w:val="22"/>
              </w:rPr>
            </w:pPr>
            <w:r>
              <w:rPr>
                <w:rFonts w:eastAsia="Calibri" w:cs="Times New Roman" w:ascii="Times New Roman" w:hAnsi="Times New Roman"/>
                <w:color w:val="000000"/>
                <w:kern w:val="0"/>
                <w:sz w:val="22"/>
                <w:szCs w:val="22"/>
                <w:lang w:val="hr-HR" w:eastAsia="en-US" w:bidi="ar-SA"/>
              </w:rPr>
              <w:t>Kapitalne pomoći PPNM Ministarstvo regionalnog razvoja i fondova EU 100.000,00 KN/</w:t>
            </w:r>
            <w:r>
              <w:rPr>
                <w:rFonts w:eastAsia="Calibri" w:cs="Times New Roman" w:ascii="Times New Roman" w:hAnsi="Times New Roman"/>
                <w:bCs/>
                <w:iCs/>
                <w:color w:val="000000"/>
                <w:kern w:val="0"/>
                <w:sz w:val="22"/>
                <w:szCs w:val="22"/>
                <w:lang w:val="hr-HR" w:eastAsia="en-US" w:bidi="ar-SA"/>
              </w:rPr>
              <w:t>13.272,28</w:t>
            </w:r>
            <w:r>
              <w:rPr>
                <w:rFonts w:eastAsia="Calibri" w:cs="Times New Roman" w:ascii="Times New Roman" w:hAnsi="Times New Roman"/>
                <w:iCs/>
                <w:color w:val="000000"/>
                <w:kern w:val="0"/>
                <w:sz w:val="22"/>
                <w:szCs w:val="22"/>
                <w:lang w:val="hr-HR" w:eastAsia="en-US" w:bidi="ar-SA"/>
              </w:rPr>
              <w:t xml:space="preserve"> EUR</w:t>
            </w:r>
          </w:p>
        </w:tc>
      </w:tr>
      <w:tr>
        <w:trPr>
          <w:trHeight w:val="40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 xml:space="preserve">Održavanje javnih površina </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sz w:val="22"/>
                <w:szCs w:val="22"/>
              </w:rPr>
            </w:pPr>
            <w:r>
              <w:rPr>
                <w:rFonts w:eastAsia="Calibri" w:cs="Times New Roman" w:ascii="Times New Roman" w:hAnsi="Times New Roman"/>
                <w:bCs/>
                <w:iCs/>
                <w:kern w:val="0"/>
                <w:sz w:val="22"/>
                <w:szCs w:val="22"/>
                <w:lang w:val="hr-HR" w:eastAsia="en-US" w:bidi="ar-SA"/>
              </w:rPr>
              <w:t>17.000,00 KN/2.256,29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sz w:val="22"/>
                <w:szCs w:val="22"/>
              </w:rPr>
            </w:pPr>
            <w:r>
              <w:rPr>
                <w:rFonts w:eastAsia="Calibri" w:cs="Times New Roman" w:ascii="Times New Roman" w:hAnsi="Times New Roman"/>
                <w:color w:val="000000"/>
                <w:kern w:val="0"/>
                <w:sz w:val="22"/>
                <w:szCs w:val="22"/>
                <w:lang w:val="hr-HR" w:eastAsia="en-US" w:bidi="ar-SA"/>
              </w:rPr>
              <w:t xml:space="preserve">Opći prihodi i primitci </w:t>
            </w:r>
            <w:r>
              <w:rPr>
                <w:rFonts w:eastAsia="Calibri" w:cs="Times New Roman" w:ascii="Times New Roman" w:hAnsi="Times New Roman"/>
                <w:bCs/>
                <w:iCs/>
                <w:color w:val="000000"/>
                <w:kern w:val="0"/>
                <w:sz w:val="22"/>
                <w:szCs w:val="22"/>
                <w:lang w:val="hr-HR" w:eastAsia="en-US" w:bidi="ar-SA"/>
              </w:rPr>
              <w:t>17.000,00 KN/2.256,29 EUR</w:t>
            </w:r>
          </w:p>
        </w:tc>
      </w:tr>
      <w:tr>
        <w:trPr>
          <w:trHeight w:val="409"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sz w:val="22"/>
                <w:szCs w:val="22"/>
              </w:rPr>
            </w:pPr>
            <w:r>
              <w:rPr>
                <w:rFonts w:eastAsia="Calibri" w:cs="" w:ascii="Times New Roman" w:hAnsi="Times New Roman"/>
                <w:kern w:val="0"/>
                <w:sz w:val="22"/>
                <w:szCs w:val="22"/>
                <w:lang w:val="en-US" w:eastAsia="en-US" w:bidi="ar-SA"/>
              </w:rPr>
              <w:t>Uređenje groblja i kapele</w:t>
            </w:r>
            <w:bookmarkStart w:id="1" w:name="_GoBack"/>
            <w:bookmarkEnd w:id="1"/>
            <w:r>
              <w:rPr>
                <w:rFonts w:eastAsia="Calibri" w:cs="" w:ascii="Times New Roman" w:hAnsi="Times New Roman"/>
                <w:kern w:val="0"/>
                <w:sz w:val="22"/>
                <w:szCs w:val="22"/>
                <w:lang w:val="en-US" w:eastAsia="en-US" w:bidi="ar-SA"/>
              </w:rPr>
              <w:t xml:space="preserve"> na groblju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color w:val="000000"/>
                <w:kern w:val="0"/>
                <w:sz w:val="22"/>
                <w:szCs w:val="22"/>
                <w:lang w:val="hr-HR" w:eastAsia="en-US" w:bidi="ar-SA"/>
              </w:rPr>
              <w:t>450.000,00 KN/</w:t>
            </w:r>
            <w:r>
              <w:rPr>
                <w:rFonts w:eastAsia="Calibri" w:cs="Times New Roman" w:ascii="Times New Roman" w:hAnsi="Times New Roman"/>
                <w:bCs/>
                <w:iCs/>
                <w:color w:val="000000"/>
                <w:kern w:val="0"/>
                <w:sz w:val="22"/>
                <w:szCs w:val="22"/>
                <w:lang w:val="hr-HR" w:eastAsia="en-US" w:bidi="ar-SA"/>
              </w:rPr>
              <w:t>59.725,26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color w:val="000000"/>
                <w:kern w:val="0"/>
                <w:sz w:val="22"/>
                <w:szCs w:val="22"/>
                <w:lang w:val="hr-HR" w:eastAsia="en-US" w:bidi="ar-SA"/>
              </w:rPr>
              <w:t>LAG Srijem 4</w:t>
            </w:r>
            <w:r>
              <w:rPr>
                <w:rFonts w:eastAsia="Calibri" w:cs="Times New Roman" w:ascii="Times New Roman" w:hAnsi="Times New Roman"/>
                <w:color w:val="000000"/>
                <w:kern w:val="0"/>
                <w:sz w:val="22"/>
                <w:szCs w:val="22"/>
                <w:lang w:val="hr-HR" w:eastAsia="en-US" w:bidi="ar-SA"/>
              </w:rPr>
              <w:t>50</w:t>
            </w:r>
            <w:r>
              <w:rPr>
                <w:rFonts w:eastAsia="Calibri" w:cs="Times New Roman" w:ascii="Times New Roman" w:hAnsi="Times New Roman"/>
                <w:color w:val="000000"/>
                <w:kern w:val="0"/>
                <w:sz w:val="22"/>
                <w:szCs w:val="22"/>
                <w:lang w:val="hr-HR" w:eastAsia="en-US" w:bidi="ar-SA"/>
              </w:rPr>
              <w:t xml:space="preserve">.000,00 KN/ </w:t>
            </w:r>
            <w:r>
              <w:rPr>
                <w:rFonts w:eastAsia="Calibri" w:cs="Times New Roman" w:ascii="Times New Roman" w:hAnsi="Times New Roman"/>
                <w:bCs/>
                <w:iCs/>
                <w:color w:val="000000"/>
                <w:kern w:val="0"/>
                <w:sz w:val="22"/>
                <w:szCs w:val="22"/>
                <w:lang w:val="hr-HR" w:eastAsia="en-US" w:bidi="ar-SA"/>
              </w:rPr>
              <w:t>59.725,26</w:t>
            </w:r>
            <w:r>
              <w:rPr>
                <w:rFonts w:eastAsia="Calibri" w:cs="Times New Roman" w:ascii="Times New Roman" w:hAnsi="Times New Roman"/>
                <w:color w:val="000000"/>
                <w:kern w:val="0"/>
                <w:sz w:val="22"/>
                <w:szCs w:val="22"/>
                <w:lang w:val="hr-HR" w:eastAsia="en-US" w:bidi="ar-SA"/>
              </w:rPr>
              <w:t xml:space="preserve"> EUR</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ascii="Times New Roman" w:hAnsi="Times New Roman"/>
                <w:kern w:val="0"/>
                <w:sz w:val="22"/>
                <w:szCs w:val="22"/>
                <w:lang w:val="hr-HR" w:eastAsia="en-US" w:bidi="ar-SA"/>
              </w:rPr>
              <w:t>Održavanje i potrošnja javne rasvjete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hanging="0"/>
              <w:jc w:val="both"/>
              <w:rPr>
                <w:sz w:val="22"/>
                <w:szCs w:val="22"/>
              </w:rPr>
            </w:pPr>
            <w:r>
              <w:rPr>
                <w:rFonts w:eastAsia="Calibri" w:cs="Times New Roman" w:ascii="Times New Roman" w:hAnsi="Times New Roman"/>
                <w:bCs/>
                <w:color w:val="000000"/>
                <w:kern w:val="0"/>
                <w:sz w:val="22"/>
                <w:szCs w:val="22"/>
                <w:lang w:val="hr-HR" w:eastAsia="en-US" w:bidi="ar-SA"/>
              </w:rPr>
              <w:t>130.000,00 KN/17.253,97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sz w:val="22"/>
                <w:szCs w:val="22"/>
              </w:rPr>
            </w:pPr>
            <w:r>
              <w:rPr>
                <w:rFonts w:eastAsia="Calibri" w:cs="Times New Roman" w:ascii="Times New Roman" w:hAnsi="Times New Roman"/>
                <w:color w:val="000000"/>
                <w:kern w:val="0"/>
                <w:sz w:val="22"/>
                <w:szCs w:val="22"/>
                <w:lang w:val="hr-HR" w:eastAsia="en-US" w:bidi="ar-SA"/>
              </w:rPr>
              <w:t>Komunalna naknada i komunalni doprinos 121.000,00 KN/16.059,46 EUR, opći prihodi i primici 9.000,00 KN/1.194,51 EUR</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bidi w:val="0"/>
              <w:jc w:val="both"/>
              <w:rPr>
                <w:rFonts w:eastAsia="Calibri" w:cs="Times New Roman"/>
                <w:iCs/>
                <w:szCs w:val="24"/>
                <w:lang w:val="hr-HR"/>
              </w:rPr>
            </w:pPr>
            <w:r>
              <w:rPr>
                <w:rFonts w:eastAsia="Calibri" w:cs="Times New Roman" w:ascii="Times New Roman" w:hAnsi="Times New Roman"/>
                <w:iCs/>
                <w:color w:val="000000"/>
                <w:kern w:val="0"/>
                <w:sz w:val="22"/>
                <w:szCs w:val="24"/>
                <w:lang w:val="hr-HR" w:eastAsia="en-US" w:bidi="ar-SA"/>
              </w:rPr>
              <w:t>1.</w:t>
            </w:r>
            <w:r>
              <w:rPr>
                <w:rFonts w:eastAsia="Calibri" w:cs="Times New Roman" w:ascii="Times New Roman" w:hAnsi="Times New Roman"/>
                <w:iCs/>
                <w:color w:val="000000"/>
                <w:kern w:val="0"/>
                <w:sz w:val="22"/>
                <w:szCs w:val="24"/>
                <w:lang w:val="hr-HR" w:eastAsia="en-US" w:bidi="ar-SA"/>
              </w:rPr>
              <w:t>097</w:t>
            </w:r>
            <w:r>
              <w:rPr>
                <w:rFonts w:eastAsia="Calibri" w:cs="Times New Roman" w:ascii="Times New Roman" w:hAnsi="Times New Roman"/>
                <w:iCs/>
                <w:color w:val="000000"/>
                <w:kern w:val="0"/>
                <w:sz w:val="22"/>
                <w:szCs w:val="24"/>
                <w:lang w:val="hr-HR" w:eastAsia="en-US" w:bidi="ar-SA"/>
              </w:rPr>
              <w:t>.000,00 KN/</w:t>
            </w:r>
          </w:p>
          <w:p>
            <w:pPr>
              <w:pStyle w:val="Normal"/>
              <w:bidi w:val="0"/>
              <w:jc w:val="both"/>
              <w:rPr>
                <w:rFonts w:eastAsia="Calibri" w:cs="Times New Roman"/>
                <w:iCs/>
                <w:szCs w:val="24"/>
                <w:lang w:val="hr-HR"/>
              </w:rPr>
            </w:pPr>
            <w:r>
              <w:rPr>
                <w:rFonts w:eastAsia="Calibri" w:cs="Times New Roman" w:ascii="Times New Roman" w:hAnsi="Times New Roman"/>
                <w:iCs/>
                <w:color w:val="000000"/>
                <w:kern w:val="0"/>
                <w:sz w:val="22"/>
                <w:szCs w:val="24"/>
                <w:lang w:val="hr-HR" w:eastAsia="en-US" w:bidi="ar-SA"/>
              </w:rPr>
              <w:t>145.596,92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 w:val="22"/>
                <w:szCs w:val="22"/>
                <w:lang w:val="hr-HR"/>
              </w:rPr>
            </w:pPr>
            <w:r>
              <w:rPr>
                <w:rFonts w:eastAsia="Calibri" w:cs="Times New Roman"/>
                <w:sz w:val="22"/>
                <w:szCs w:val="22"/>
                <w:lang w:val="hr-HR"/>
              </w:rPr>
            </w:r>
          </w:p>
        </w:tc>
      </w:tr>
    </w:tbl>
    <w:p>
      <w:pPr>
        <w:pStyle w:val="Normal"/>
        <w:bidi w:val="0"/>
        <w:jc w:val="left"/>
        <w:rPr>
          <w:rFonts w:eastAsia="Calibri" w:cs="Times New Roman"/>
          <w:szCs w:val="24"/>
          <w:lang w:val="hr-HR"/>
        </w:rPr>
      </w:pPr>
      <w:r>
        <w:rPr>
          <w:rFonts w:eastAsia="Calibri" w:cs="Times New Roman"/>
          <w:szCs w:val="24"/>
          <w:lang w:val="hr-HR"/>
        </w:rPr>
        <w:t xml:space="preserve">„                                                                   </w:t>
      </w:r>
    </w:p>
    <w:p>
      <w:pPr>
        <w:pStyle w:val="Normal"/>
        <w:bidi w:val="0"/>
        <w:jc w:val="center"/>
        <w:rPr>
          <w:rFonts w:eastAsia="Calibri" w:cs="Times New Roman"/>
          <w:szCs w:val="24"/>
          <w:lang w:val="hr-HR"/>
        </w:rPr>
      </w:pPr>
      <w:r>
        <w:rPr>
          <w:rFonts w:eastAsia="Calibri" w:cs="Times New Roman"/>
          <w:b/>
          <w:szCs w:val="24"/>
          <w:lang w:val="hr-HR"/>
        </w:rPr>
        <w:t>Članak 3.</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b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Članak 4.</w:t>
      </w:r>
    </w:p>
    <w:p>
      <w:pPr>
        <w:pStyle w:val="Normal"/>
        <w:keepNext w:val="true"/>
        <w:numPr>
          <w:ilvl w:val="0"/>
          <w:numId w:val="0"/>
        </w:numPr>
        <w:bidi w:val="0"/>
        <w:ind w:left="0" w:hanging="0"/>
        <w:jc w:val="both"/>
        <w:outlineLvl w:val="0"/>
        <w:rPr>
          <w:rFonts w:eastAsia="Calibri" w:cs="Times New Roman"/>
          <w:szCs w:val="24"/>
          <w:lang w:val="hr-HR"/>
        </w:rPr>
      </w:pPr>
      <w:r>
        <w:rPr>
          <w:rFonts w:eastAsia="Calibri" w:cs="Times New Roman"/>
          <w:szCs w:val="24"/>
          <w:lang w:val="hr-HR"/>
        </w:rPr>
        <w:tab/>
        <w:t xml:space="preserve">Izmjene i dopune Programa </w:t>
      </w:r>
      <w:r>
        <w:rPr>
          <w:rFonts w:eastAsia="Andale Sans UI" w:cs="Times New Roman"/>
          <w:kern w:val="2"/>
          <w:szCs w:val="24"/>
          <w:lang w:val="hr-HR" w:eastAsia="zh-CN"/>
        </w:rPr>
        <w:t>održavanja</w:t>
      </w:r>
      <w:r>
        <w:rPr>
          <w:rFonts w:eastAsia="Calibri" w:cs="Times New Roman"/>
          <w:szCs w:val="24"/>
          <w:lang w:val="hr-HR"/>
        </w:rPr>
        <w:t xml:space="preserve"> komunalne infrastrukture Općine Negoslavci za 2022. godinu</w:t>
      </w:r>
      <w:r>
        <w:rPr>
          <w:rFonts w:eastAsia="Andale Sans UI" w:cs="Times New Roman"/>
          <w:kern w:val="2"/>
          <w:szCs w:val="24"/>
          <w:lang w:val="hr-HR" w:eastAsia="zh-CN"/>
        </w:rPr>
        <w:t xml:space="preserve"> </w:t>
      </w:r>
      <w:r>
        <w:rPr>
          <w:rFonts w:eastAsia="Calibri" w:cs="Times New Roman"/>
          <w:szCs w:val="24"/>
          <w:lang w:val="hr-HR"/>
        </w:rPr>
        <w:t>stupaju na snagu dan nakon dana objave u Službenom glasniku Općine Negoslavci.</w:t>
      </w:r>
    </w:p>
    <w:p>
      <w:pPr>
        <w:pStyle w:val="Normal"/>
        <w:numPr>
          <w:ilvl w:val="0"/>
          <w:numId w:val="0"/>
        </w:numPr>
        <w:bidi w:val="0"/>
        <w:ind w:left="0" w:hanging="0"/>
        <w:jc w:val="both"/>
        <w:outlineLvl w:val="0"/>
        <w:rPr>
          <w:rFonts w:eastAsia="Calibri" w:cs="Times New Roman"/>
          <w:szCs w:val="24"/>
          <w:lang w:val="hr-HR"/>
        </w:rPr>
      </w:pPr>
      <w:r>
        <w:rPr>
          <w:rFonts w:eastAsia="Calibri" w:cs="Times New Roman"/>
          <w:szCs w:val="24"/>
          <w:lang w:val="hr-HR"/>
        </w:rPr>
        <w:t xml:space="preserve"> </w:t>
      </w:r>
    </w:p>
    <w:p>
      <w:pPr>
        <w:pStyle w:val="Normal"/>
        <w:bidi w:val="0"/>
        <w:jc w:val="right"/>
        <w:rPr>
          <w:rFonts w:eastAsia="Calibri" w:cs="Times New Roman"/>
          <w:b/>
          <w:b/>
          <w:szCs w:val="24"/>
          <w:lang w:val="hr-HR"/>
        </w:rPr>
      </w:pPr>
      <w:r>
        <w:rPr>
          <w:rFonts w:eastAsia="Calibri" w:cs="Times New Roman"/>
          <w:b/>
          <w:szCs w:val="24"/>
          <w:lang w:val="hr-HR"/>
        </w:rPr>
        <w:t>PREDSJEDNIK OPĆINSKOG VIJEĆA:</w:t>
      </w:r>
    </w:p>
    <w:p>
      <w:pPr>
        <w:pStyle w:val="Normal"/>
        <w:bidi w:val="0"/>
        <w:jc w:val="right"/>
        <w:rPr>
          <w:rFonts w:eastAsia="Calibri" w:cs="Times New Roman"/>
          <w:szCs w:val="24"/>
          <w:lang w:val="hr-HR"/>
        </w:rPr>
      </w:pPr>
      <w:r>
        <w:rPr>
          <w:rFonts w:eastAsia="Calibri" w:cs="Times New Roman"/>
          <w:szCs w:val="24"/>
          <w:lang w:val="hr-HR"/>
        </w:rPr>
        <w:t>Miodrag Mišanović</w:t>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jc w:val="center"/>
      <w:rPr/>
    </w:pPr>
    <w:r>
      <w:rPr/>
      <w:fldChar w:fldCharType="begin"/>
    </w:r>
    <w:r>
      <w:rPr/>
      <w:instrText xml:space="preserve"> PAGE </w:instrText>
    </w:r>
    <w:r>
      <w:rPr/>
      <w:fldChar w:fldCharType="separate"/>
    </w:r>
    <w:r>
      <w:rPr/>
      <w:t>1</w:t>
    </w:r>
    <w:r>
      <w:rPr/>
      <w:fldChar w:fldCharType="end"/>
    </w:r>
  </w:p>
</w:ftr>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LibreOffice/7.4.1.2$Windows_X86_64 LibreOffice_project/3c58a8f3a960df8bc8fd77b461821e42c061c5f0</Application>
  <AppVersion>15.0000</AppVersion>
  <Pages>3</Pages>
  <Words>1091</Words>
  <Characters>7319</Characters>
  <CharactersWithSpaces>8770</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2022-12-28T14:40:52Z</dcterms:created>
  <dc:creator/>
  <dc:description/>
  <dc:language>hr-HR</dc:language>
  <cp:lastModifiedBy/>
  <dcterms:modified xsi:type="dcterms:W3CDTF">2023-01-12T12:08:27Z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