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Na temelju članka 15. i 19</w:t>
      </w:r>
      <w:bookmarkStart w:id="0" w:name="_Hlk69832403"/>
      <w:r>
        <w:rPr>
          <w:rFonts w:cs="Arial" w:ascii="Arial" w:hAnsi="Arial"/>
        </w:rPr>
        <w:t>. Zakona o upravljanju državnom imovinom (»Narodne novine«, broj 52/18)</w:t>
      </w:r>
      <w:bookmarkEnd w:id="0"/>
      <w:r>
        <w:rPr>
          <w:rFonts w:cs="Arial" w:ascii="Arial" w:hAnsi="Arial"/>
        </w:rPr>
        <w:t xml:space="preserve">, a u skladu sa člankom 35., stavkom 8. Zakona o vlasništvu i drugim stvarnim pravima – pročišćen tekst-(»Narodne novine«, broj 81/15  ) i članka 32., stavka 2., točke 2. Statuta Općine Negoslavci (Službeni glasnik Općine Negoslavci broj 1/21) te </w:t>
      </w:r>
      <w:bookmarkStart w:id="1" w:name="_Hlk69833132"/>
      <w:r>
        <w:rPr>
          <w:rFonts w:cs="Arial" w:ascii="Arial" w:hAnsi="Arial"/>
        </w:rPr>
        <w:t xml:space="preserve">Strategijom upravljanja imovinom Općine Negoslavci </w:t>
      </w:r>
      <w:bookmarkEnd w:id="1"/>
      <w:r>
        <w:rPr>
          <w:rFonts w:cs="Arial" w:ascii="Arial" w:hAnsi="Arial"/>
        </w:rPr>
        <w:t>za razdoblje 2020-2026.donosi 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GODIŠNJI PLAN UPRAVLJANJA IMOVINOM 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OPĆINE NEGOSLAVCI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ZA 2022. GODINU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Negoslavci, 17.11.2021.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Uvod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Imovina Općine Negoslavci prema Strategiji upravljanja imovinom Općine Negoslavci podrazumijeva sljedeće vrijednosti: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5.1. Poslovne udjele u trgovačkim društvima čiji je imatelj Općina,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5.2. Dionice u trgovačkim društvima čiji je imatelj Općina,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5.3. Osnivačka prava u pravnim osobama kojima je Općina osnivač,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5.4. Nekretnine i prava na nekretninama,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5.5. Novčana sredstva, prava i pokretnine.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 ovom Godišnjem planu razrađeni su prioritetni ciljevi iz Strategije prema  konkretnim mjerama i objektima što se daje u daljnjem pregledu godišnjih aktivnosti.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Plan upravljanja imovinom u vlasništvu Općine Negoslavci za 2022. godinu, prati strukturu utvrđenu Uredbom o obveznom sadržaju Plana upravljanja imovinom u vlasništvu Republike Hrvatske (»Narodne novine« broj 24/14). Poglavljima godišnjih planova definiraju se kratkoročni ciljevi, pružaju izvedbene mjere, odnosno specificiraju se aktivnosti za ostvarenje ciljeva te određuju smjernice upravljanja, a sve u svrhu učinkovitog upravljanja i raspolaganja imovinom Općine.</w:t>
      </w:r>
    </w:p>
    <w:p>
      <w:pPr>
        <w:sectPr>
          <w:footerReference w:type="default" r:id="rId2"/>
          <w:type w:val="nextPage"/>
          <w:pgSz w:w="11906" w:h="16838"/>
          <w:pgMar w:left="1417" w:right="1417" w:gutter="0" w:header="0" w:top="1417" w:footer="708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/>
      </w:r>
      <w:r>
        <w:br w:type="page"/>
      </w:r>
    </w:p>
    <w:p>
      <w:pPr>
        <w:pStyle w:val="Normal"/>
        <w:rPr>
          <w:rFonts w:ascii="Arial" w:hAnsi="Arial" w:cs="Arial"/>
          <w:bCs/>
          <w:color w:val="0070C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Pregled godišnjih aktivnosti u 2022. godini </w:t>
      </w:r>
      <w:r>
        <w:rPr>
          <w:rFonts w:cs="Arial" w:ascii="Arial" w:hAnsi="Arial"/>
          <w:bCs/>
          <w:sz w:val="24"/>
          <w:szCs w:val="24"/>
        </w:rPr>
        <w:t>(prema Strategiji planiran prioritet 1)</w:t>
      </w:r>
    </w:p>
    <w:tbl>
      <w:tblPr>
        <w:tblStyle w:val="Reetkatablice"/>
        <w:tblpPr w:bottomFromText="0" w:horzAnchor="margin" w:leftFromText="180" w:rightFromText="180" w:tblpX="392" w:tblpY="1600" w:topFromText="0" w:vertAnchor="page"/>
        <w:tblW w:w="150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3545"/>
        <w:gridCol w:w="1349"/>
        <w:gridCol w:w="1807"/>
        <w:gridCol w:w="1340"/>
        <w:gridCol w:w="1240"/>
        <w:gridCol w:w="1558"/>
        <w:gridCol w:w="1308"/>
      </w:tblGrid>
      <w:tr>
        <w:trPr>
          <w:tblHeader w:val="true"/>
          <w:trHeight w:val="360" w:hRule="atLeast"/>
        </w:trPr>
        <w:tc>
          <w:tcPr>
            <w:tcW w:w="2942" w:type="dxa"/>
            <w:vMerge w:val="restart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Mjera iz Strategije</w:t>
            </w:r>
          </w:p>
        </w:tc>
        <w:tc>
          <w:tcPr>
            <w:tcW w:w="3545" w:type="dxa"/>
            <w:vMerge w:val="restart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Objekt / aktivnosti</w:t>
            </w:r>
          </w:p>
        </w:tc>
        <w:tc>
          <w:tcPr>
            <w:tcW w:w="1349" w:type="dxa"/>
            <w:vMerge w:val="restart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Izlaz (rezultat)</w:t>
            </w:r>
          </w:p>
        </w:tc>
        <w:tc>
          <w:tcPr>
            <w:tcW w:w="1807" w:type="dxa"/>
            <w:vMerge w:val="restart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Izvor financija</w:t>
            </w:r>
          </w:p>
        </w:tc>
        <w:tc>
          <w:tcPr>
            <w:tcW w:w="2580" w:type="dxa"/>
            <w:gridSpan w:val="2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 xml:space="preserve">Rok </w:t>
            </w:r>
          </w:p>
        </w:tc>
        <w:tc>
          <w:tcPr>
            <w:tcW w:w="1558" w:type="dxa"/>
            <w:vMerge w:val="restart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Odgovorna osoba</w:t>
            </w:r>
          </w:p>
        </w:tc>
        <w:tc>
          <w:tcPr>
            <w:tcW w:w="1308" w:type="dxa"/>
            <w:vMerge w:val="restart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eastAsia="en-US" w:bidi="ar-SA"/>
              </w:rPr>
              <w:t>Veza sa ciljem Strategije</w:t>
            </w:r>
          </w:p>
        </w:tc>
      </w:tr>
      <w:tr>
        <w:trPr>
          <w:tblHeader w:val="true"/>
          <w:trHeight w:val="195" w:hRule="atLeast"/>
        </w:trPr>
        <w:tc>
          <w:tcPr>
            <w:tcW w:w="2942" w:type="dxa"/>
            <w:vMerge w:val="continue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45" w:type="dxa"/>
            <w:vMerge w:val="continue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49" w:type="dxa"/>
            <w:vMerge w:val="continue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07" w:type="dxa"/>
            <w:vMerge w:val="continue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40" w:type="dxa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Početak</w:t>
            </w:r>
          </w:p>
        </w:tc>
        <w:tc>
          <w:tcPr>
            <w:tcW w:w="1240" w:type="dxa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Završetak</w:t>
            </w:r>
          </w:p>
        </w:tc>
        <w:tc>
          <w:tcPr>
            <w:tcW w:w="1558" w:type="dxa"/>
            <w:vMerge w:val="continue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08" w:type="dxa"/>
            <w:vMerge w:val="continue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/>
        <w:tc>
          <w:tcPr>
            <w:tcW w:w="2942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MJERA: 7.3.1.1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Stvoriti organizacijske, materijalne i regulatorne preduvjete  za ažuriranje evidencije imovine pod nazivom Registar imovine Općine Negoslavci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>Registar imovine /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Izvršiti analizu postojećeg Registra imovine.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Prema nalazu izvršiti njegovo ažuriranje u skladu s zakonom.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Ažuriran registar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01.03.2022.</w:t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01.04.2022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1</w:t>
            </w:r>
          </w:p>
        </w:tc>
      </w:tr>
      <w:tr>
        <w:trPr/>
        <w:tc>
          <w:tcPr>
            <w:tcW w:w="2942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Informiranje građana i javnosti o  ažuriranju evidencije imovine Općine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Dana informacija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258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U skladu sa zakonima i drugim propisima.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9</w:t>
            </w:r>
          </w:p>
        </w:tc>
      </w:tr>
      <w:tr>
        <w:trPr>
          <w:trHeight w:val="1487" w:hRule="atLeast"/>
        </w:trPr>
        <w:tc>
          <w:tcPr>
            <w:tcW w:w="2942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kern w:val="0"/>
                <w:szCs w:val="22"/>
                <w:lang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MJERA: 7.3.2.1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Prema evidenciji imovine za svaku jedinicu odrediti odgovornu organizaciju ili tijelo te pojedinaca unutar organizacije/tijela za upravljanje imovinom.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Prema točkama 5.3. i 5.4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Strategije upravljanja imovinom izvršiti /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analizu  imenovanja odgovornih osoba za imovinu Općine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temeljem analize imenovati odgovornu osobu za svaku jedinicu u vlasništvu Općine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Izvršena analiza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Provedeno imenovanje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134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Drugo polugodište 2022.</w:t>
            </w:r>
          </w:p>
        </w:tc>
        <w:tc>
          <w:tcPr>
            <w:tcW w:w="124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U skladu sa zakonima i drugim propisima.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2</w:t>
            </w:r>
          </w:p>
        </w:tc>
      </w:tr>
      <w:tr>
        <w:trPr>
          <w:trHeight w:val="575" w:hRule="atLeast"/>
        </w:trPr>
        <w:tc>
          <w:tcPr>
            <w:tcW w:w="2942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Informirati građana i javnosti o imenovanim odgovornim osobama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Dana informacija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258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2</w:t>
            </w:r>
          </w:p>
        </w:tc>
      </w:tr>
      <w:tr>
        <w:trPr>
          <w:trHeight w:val="780" w:hRule="atLeast"/>
        </w:trPr>
        <w:tc>
          <w:tcPr>
            <w:tcW w:w="294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MJERA 7.3.6.1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Iznaći organizacijsko rješenje i redovito ažurirati opće akte o upravljanju imovinom u skladu sa zakonima i drugim propisima.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200"/>
              <w:ind w:left="-43" w:hanging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Opći akti upravljanja imovinom /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Imenovati tim za analizu usklađenosti općih akata sa zakonima.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Prema analizi se vrši usklađivanje po posebnom planu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Revidirani opći akti se usvajaju na Općinskom vijeću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Pokrenuta inicijativa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Općina Negoslavci</w:t>
            </w:r>
          </w:p>
        </w:tc>
        <w:tc>
          <w:tcPr>
            <w:tcW w:w="2580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U skladu sa zakonima i drugim propisima.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6</w:t>
            </w:r>
          </w:p>
        </w:tc>
      </w:tr>
      <w:tr>
        <w:trPr>
          <w:trHeight w:val="780" w:hRule="atLeast"/>
        </w:trPr>
        <w:tc>
          <w:tcPr>
            <w:tcW w:w="294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MJERA 7.3.9.1  Izraditi plan i stvoriti ljudske i tehničke preduvjete redovitog informiranja  građana i javnosti o upravljanju imovinom Općine</w:t>
            </w:r>
          </w:p>
        </w:tc>
        <w:tc>
          <w:tcPr>
            <w:tcW w:w="354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Napraviti Plan informiranja po svim aktivnostima. Urediti mrežnu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stranicu tako da je mogu koristiti sve kategorije građana.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Proračun Općine</w:t>
            </w:r>
          </w:p>
        </w:tc>
        <w:tc>
          <w:tcPr>
            <w:tcW w:w="2580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 / Osoba za informiranje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9</w:t>
            </w:r>
          </w:p>
        </w:tc>
      </w:tr>
      <w:tr>
        <w:trPr>
          <w:trHeight w:val="780" w:hRule="atLeast"/>
        </w:trPr>
        <w:tc>
          <w:tcPr>
            <w:tcW w:w="294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MJERA 7.3.9.2  Redovito prema Godišnjem planu odvijanja aktivnosti informirati  građane i javnosti o upravljanju imovinom Općine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200"/>
              <w:ind w:left="-43" w:hanging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Od građana zatražiti da sudjeluju u savjetovanju za donošenje bitnih   odluka upravljanja imovinom Općine.</w:t>
            </w:r>
          </w:p>
        </w:tc>
        <w:tc>
          <w:tcPr>
            <w:tcW w:w="134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Dana informacija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Dana informacija</w:t>
            </w:r>
          </w:p>
        </w:tc>
        <w:tc>
          <w:tcPr>
            <w:tcW w:w="2580" w:type="dxa"/>
            <w:gridSpan w:val="2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Kontinuirano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Općinski načelnik / Osoba za informiranje</w:t>
            </w:r>
          </w:p>
        </w:tc>
        <w:tc>
          <w:tcPr>
            <w:tcW w:w="13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eastAsia="en-US" w:bidi="ar-SA"/>
              </w:rPr>
              <w:t>CILJ 9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720" w:right="720" w:gutter="0" w:header="0" w:top="720" w:footer="708" w:bottom="765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Primjenjujući koncept odgovornog upravljanja imovinom Općine Negoslavci na taj način ćemo aktivirati nedovoljno iskorištenu imovinu i njenu zaštitu od propadanja. Cilj je imovinu što prije staviti u funkciju gospodarskog razvoja Općine. Ukupna politika Općine je usmjerena na ostvarenje najboljih rezultata vodeći računa o ekonomskoj utemeljenosti upravljanja imovinom i dobrom gospodarenju.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Plan stupa na snagu danom objavljivanja u Službenom glasniku Općine Negoslavci</w:t>
      </w:r>
    </w:p>
    <w:p>
      <w:pPr>
        <w:pStyle w:val="Normal"/>
        <w:spacing w:lineRule="auto" w:line="240" w:before="0" w:after="0"/>
        <w:ind w:right="799" w:hanging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KLASA: 406-09/21-01/01</w:t>
      </w:r>
    </w:p>
    <w:p>
      <w:pPr>
        <w:pStyle w:val="Normal"/>
        <w:spacing w:lineRule="auto" w:line="240" w:before="0" w:after="0"/>
        <w:ind w:right="799" w:hanging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URBROJ: 2106/06-01-21-01</w:t>
      </w:r>
      <w:bookmarkStart w:id="2" w:name="_GoBack"/>
      <w:bookmarkEnd w:id="2"/>
    </w:p>
    <w:p>
      <w:pPr>
        <w:pStyle w:val="Normal"/>
        <w:spacing w:lineRule="auto" w:line="240" w:before="0" w:after="0"/>
        <w:ind w:right="799" w:hanging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Negoslavci, 17.11.2021. godine</w:t>
      </w:r>
    </w:p>
    <w:p>
      <w:pPr>
        <w:pStyle w:val="Normal"/>
        <w:jc w:val="righ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righ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Općinski načelnik:</w:t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Dušan Jeckov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ab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4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08320402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Podnoje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44210355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Podnoje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813118"/>
    </w:sdtPr>
    <w:sdtContent>
      <w:p>
        <w:pPr>
          <w:pStyle w:val="Podnoje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Podnoje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317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77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tabs>
          <w:tab w:val="num" w:pos="0"/>
        </w:tabs>
        <w:ind w:left="274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7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317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c6d"/>
    <w:pPr>
      <w:widowControl/>
      <w:bidi w:val="0"/>
      <w:spacing w:lineRule="auto" w:line="276" w:before="0" w:after="20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uiPriority w:val="99"/>
    <w:qFormat/>
    <w:rsid w:val="009e4c6d"/>
    <w:rPr>
      <w:rFonts w:ascii="Calibri" w:hAnsi="Calibri" w:asciiTheme="minorHAnsi" w:hAnsiTheme="minorHAnsi"/>
      <w:sz w:val="22"/>
      <w:lang w:val="hr-HR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f12796"/>
    <w:rPr>
      <w:rFonts w:ascii="Segoe UI" w:hAnsi="Segoe UI" w:cs="Segoe UI"/>
      <w:sz w:val="18"/>
      <w:szCs w:val="18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4c6d"/>
    <w:pPr>
      <w:spacing w:before="0" w:after="20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PodnojeChar"/>
    <w:uiPriority w:val="99"/>
    <w:unhideWhenUsed/>
    <w:rsid w:val="009e4c6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f127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9e4c6d"/>
    <w:rPr>
      <w:rFonts w:asciiTheme="minorHAnsi" w:hAnsiTheme="minorHAnsi"/>
      <w:lang w:val="hr-H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LibreOffice/7.4.1.2$Windows_X86_64 LibreOffice_project/3c58a8f3a960df8bc8fd77b461821e42c061c5f0</Application>
  <AppVersion>15.0000</AppVersion>
  <Pages>5</Pages>
  <Words>632</Words>
  <Characters>4047</Characters>
  <CharactersWithSpaces>4611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2021-11-15T07:40:00Z</dcterms:created>
  <dc:creator>Korisnik</dc:creator>
  <dc:description/>
  <dc:language>hr-HR</dc:language>
  <cp:lastModifiedBy>Korisnik</cp:lastModifiedBy>
  <cp:lastPrinted>2021-11-17T09:34:00Z</cp:lastPrinted>
  <dcterms:modified xsi:type="dcterms:W3CDTF">2021-12-16T11:45:00Z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