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jc w:val="both"/>
        <w:rPr>
          <w:rFonts w:eastAsia="Calibri" w:cs="Times New Roman"/>
          <w:b/>
          <w:b/>
          <w:kern w:val="2"/>
          <w:sz w:val="20"/>
          <w:szCs w:val="24"/>
          <w:lang w:val="hr-HR" w:eastAsia="zh-CN"/>
        </w:rPr>
      </w:pPr>
      <w:r>
        <w:rPr>
          <w:rFonts w:eastAsia="Calibri" w:cs="Times New Roman"/>
          <w:b/>
          <w:kern w:val="2"/>
          <w:sz w:val="20"/>
          <w:szCs w:val="24"/>
          <w:lang w:val="hr-HR" w:eastAsia="zh-CN"/>
        </w:rPr>
        <w:tab/>
        <w:tab/>
      </w:r>
      <w:r>
        <w:rPr/>
        <w:drawing>
          <wp:inline distT="0" distB="0" distL="0" distR="0">
            <wp:extent cx="476250" cy="60007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jc w:val="both"/>
        <w:rPr>
          <w:rFonts w:eastAsia="Calibri" w:cs="Times New Roman"/>
          <w:b/>
          <w:b/>
          <w:kern w:val="2"/>
          <w:sz w:val="20"/>
          <w:szCs w:val="24"/>
          <w:lang w:val="hr-HR" w:eastAsia="zh-CN"/>
        </w:rPr>
      </w:pPr>
      <w:r>
        <w:rPr>
          <w:rFonts w:eastAsia="Calibri" w:cs="Times New Roman"/>
          <w:b/>
          <w:kern w:val="2"/>
          <w:szCs w:val="24"/>
          <w:lang w:val="hr-HR" w:eastAsia="zh-CN"/>
        </w:rPr>
        <w:tab/>
        <w:t>REPUBLIKA HRVATSKA</w:t>
      </w:r>
    </w:p>
    <w:p>
      <w:pPr>
        <w:pStyle w:val="Normal"/>
        <w:suppressAutoHyphens w:val="true"/>
        <w:jc w:val="both"/>
        <w:rPr>
          <w:rFonts w:eastAsia="Calibri" w:cs="Times New Roman"/>
          <w:b/>
          <w:b/>
          <w:kern w:val="2"/>
          <w:szCs w:val="24"/>
          <w:lang w:val="hr-HR" w:eastAsia="zh-CN"/>
        </w:rPr>
      </w:pPr>
      <w:r>
        <w:rPr>
          <w:rFonts w:eastAsia="Calibri" w:cs="Times New Roman"/>
          <w:b/>
          <w:kern w:val="2"/>
          <w:szCs w:val="24"/>
          <w:lang w:val="hr-HR" w:eastAsia="zh-CN"/>
        </w:rPr>
        <w:t>VUKOVARSKO-SRIJEMSKA ŽUPANIJA</w:t>
      </w:r>
    </w:p>
    <w:p>
      <w:pPr>
        <w:pStyle w:val="Normal"/>
        <w:suppressAutoHyphens w:val="true"/>
        <w:jc w:val="both"/>
        <w:rPr>
          <w:rFonts w:eastAsia="Calibri" w:cs="Times New Roman"/>
          <w:b/>
          <w:b/>
          <w:kern w:val="2"/>
          <w:szCs w:val="24"/>
          <w:lang w:val="hr-HR" w:eastAsia="zh-CN"/>
        </w:rPr>
      </w:pPr>
      <w:r>
        <w:rPr>
          <w:rFonts w:eastAsia="Calibri" w:cs="Times New Roman"/>
          <w:b/>
          <w:kern w:val="2"/>
          <w:szCs w:val="24"/>
          <w:lang w:val="hr-HR" w:eastAsia="zh-CN"/>
        </w:rPr>
        <w:t>OPĆINA NEGOSLAVCI</w:t>
      </w:r>
    </w:p>
    <w:p>
      <w:pPr>
        <w:pStyle w:val="Normal"/>
        <w:suppressAutoHyphens w:val="true"/>
        <w:jc w:val="both"/>
        <w:rPr>
          <w:rFonts w:eastAsia="Calibri" w:cs="Times New Roman"/>
          <w:b/>
          <w:b/>
          <w:kern w:val="2"/>
          <w:szCs w:val="24"/>
          <w:lang w:val="hr-HR" w:eastAsia="zh-CN"/>
        </w:rPr>
      </w:pPr>
      <w:r>
        <w:rPr>
          <w:rFonts w:eastAsia="Calibri" w:cs="Times New Roman"/>
          <w:b/>
          <w:kern w:val="2"/>
          <w:szCs w:val="24"/>
          <w:lang w:val="hr-HR" w:eastAsia="zh-CN"/>
        </w:rPr>
        <w:t>Općinski načelnik</w:t>
      </w:r>
    </w:p>
    <w:p>
      <w:pPr>
        <w:pStyle w:val="Normal"/>
        <w:jc w:val="both"/>
        <w:rPr>
          <w:rFonts w:eastAsia="Calibri" w:cs="Times New Roman"/>
          <w:sz w:val="28"/>
          <w:szCs w:val="28"/>
          <w:lang w:val="hr-HR"/>
        </w:rPr>
      </w:pPr>
      <w:r>
        <w:rPr>
          <w:rFonts w:eastAsia="Calibri" w:cs="Times New Roman"/>
          <w:b/>
          <w:kern w:val="2"/>
          <w:szCs w:val="24"/>
          <w:lang w:val="hr-HR" w:eastAsia="zh-CN"/>
        </w:rPr>
        <w:t xml:space="preserve">KLASA: </w:t>
      </w:r>
      <w:r>
        <w:rPr>
          <w:rFonts w:eastAsia="Calibri" w:cs="Times New Roman"/>
          <w:szCs w:val="24"/>
          <w:lang w:val="hr-HR"/>
        </w:rPr>
        <w:t>400-08/21-01/01</w:t>
      </w:r>
    </w:p>
    <w:p>
      <w:pPr>
        <w:pStyle w:val="Normal"/>
        <w:suppressAutoHyphens w:val="true"/>
        <w:jc w:val="both"/>
        <w:rPr>
          <w:rFonts w:eastAsia="Calibri" w:cs="Times New Roman"/>
          <w:kern w:val="2"/>
          <w:szCs w:val="24"/>
          <w:lang w:val="hr-HR" w:eastAsia="zh-CN"/>
        </w:rPr>
      </w:pPr>
      <w:r>
        <w:rPr>
          <w:rFonts w:eastAsia="Calibri" w:cs="Times New Roman"/>
          <w:b/>
          <w:kern w:val="2"/>
          <w:szCs w:val="24"/>
          <w:lang w:val="hr-HR" w:eastAsia="zh-CN"/>
        </w:rPr>
        <w:t xml:space="preserve">URBROJ: </w:t>
      </w:r>
      <w:bookmarkStart w:id="0" w:name="_Hlk100039393"/>
      <w:r>
        <w:rPr>
          <w:rFonts w:eastAsia="Calibri" w:cs="Times New Roman"/>
          <w:kern w:val="2"/>
          <w:szCs w:val="24"/>
          <w:lang w:val="hr-HR" w:eastAsia="zh-CN"/>
        </w:rPr>
        <w:t>2196-19-01-23-34</w:t>
      </w:r>
      <w:bookmarkEnd w:id="0"/>
    </w:p>
    <w:p>
      <w:pPr>
        <w:pStyle w:val="Normal"/>
        <w:suppressAutoHyphens w:val="true"/>
        <w:jc w:val="both"/>
        <w:rPr>
          <w:rFonts w:eastAsia="Calibri" w:cs="Times New Roman"/>
          <w:kern w:val="2"/>
          <w:szCs w:val="24"/>
          <w:lang w:val="hr-HR" w:eastAsia="zh-CN"/>
        </w:rPr>
      </w:pPr>
      <w:r>
        <w:rPr>
          <w:rFonts w:eastAsia="Calibri" w:cs="Times New Roman"/>
          <w:b/>
          <w:kern w:val="2"/>
          <w:szCs w:val="24"/>
          <w:lang w:val="hr-HR" w:eastAsia="zh-CN"/>
        </w:rPr>
        <w:t xml:space="preserve">Negoslavci, </w:t>
      </w:r>
      <w:r>
        <w:rPr>
          <w:rFonts w:eastAsia="Calibri" w:cs="Times New Roman"/>
          <w:kern w:val="2"/>
          <w:szCs w:val="24"/>
          <w:lang w:val="hr-HR" w:eastAsia="zh-CN"/>
        </w:rPr>
        <w:t>21.03.2023. godine</w:t>
      </w:r>
    </w:p>
    <w:p>
      <w:pPr>
        <w:pStyle w:val="Normal"/>
        <w:widowControl w:val="false"/>
        <w:suppressAutoHyphens w:val="true"/>
        <w:rPr>
          <w:rFonts w:eastAsia="Andale Sans UI" w:cs="Times New Roman"/>
          <w:kern w:val="2"/>
          <w:szCs w:val="24"/>
          <w:lang w:val="en-AU" w:eastAsia="ar-SA"/>
        </w:rPr>
      </w:pPr>
      <w:r>
        <w:rPr>
          <w:rFonts w:eastAsia="Times New Roman" w:cs="Times New Roman"/>
          <w:kern w:val="2"/>
          <w:szCs w:val="24"/>
          <w:lang w:val="hr-HR" w:eastAsia="ar-SA"/>
        </w:rPr>
        <w:tab/>
        <w:tab/>
        <w:tab/>
        <w:tab/>
        <w:t xml:space="preserve">                            </w:t>
      </w:r>
    </w:p>
    <w:p>
      <w:pPr>
        <w:pStyle w:val="Normal"/>
        <w:widowControl w:val="false"/>
        <w:suppressAutoHyphens w:val="true"/>
        <w:ind w:firstLine="720"/>
        <w:jc w:val="both"/>
        <w:rPr>
          <w:rFonts w:eastAsia="Andale Sans UI" w:cs="Times New Roman"/>
          <w:kern w:val="2"/>
          <w:szCs w:val="24"/>
          <w:lang w:val="en-AU" w:eastAsia="ar-SA"/>
        </w:rPr>
      </w:pPr>
      <w:r>
        <w:rPr>
          <w:rFonts w:eastAsia="Andale Sans UI" w:cs="Times New Roman"/>
          <w:kern w:val="2"/>
          <w:szCs w:val="24"/>
          <w:lang w:val="en-AU" w:eastAsia="ar-SA"/>
        </w:rPr>
        <w:t xml:space="preserve">Na </w:t>
      </w:r>
      <w:r>
        <w:rPr>
          <w:rFonts w:eastAsia="Andale Sans UI" w:cs="Times New Roman"/>
          <w:kern w:val="2"/>
          <w:szCs w:val="24"/>
          <w:lang w:val="hr-HR" w:eastAsia="ar-SA"/>
        </w:rPr>
        <w:t xml:space="preserve">temelju članka 289. Zakon o socijalnoj skrbi ("Narodne novine" br. 18/22., 46/22.) i </w:t>
      </w:r>
      <w:r>
        <w:rPr>
          <w:rFonts w:eastAsia="Andale Sans UI" w:cs="Times New Roman"/>
          <w:kern w:val="2"/>
          <w:szCs w:val="24"/>
          <w:lang w:val="en-AU" w:eastAsia="ar-SA"/>
        </w:rPr>
        <w:t>članka 32., stavka 2., točke 2. Statuta Općine Negoslavci (“Službeni glasnik Općine Negoslavci” broj 01/21), Općinski načelnik Općine Negoslavci dana 21.03.2023. godine donosi</w:t>
      </w:r>
    </w:p>
    <w:p>
      <w:pPr>
        <w:pStyle w:val="Normal"/>
        <w:widowControl w:val="false"/>
        <w:suppressAutoHyphens w:val="true"/>
        <w:jc w:val="center"/>
        <w:rPr>
          <w:rFonts w:eastAsia="Andale Sans UI" w:cs="Times New Roman"/>
          <w:b/>
          <w:b/>
          <w:bCs/>
          <w:kern w:val="2"/>
          <w:szCs w:val="24"/>
          <w:lang w:val="hr-HR" w:eastAsia="ar-SA"/>
        </w:rPr>
      </w:pPr>
      <w:r>
        <w:rPr>
          <w:rFonts w:eastAsia="Andale Sans UI" w:cs="Times New Roman"/>
          <w:b/>
          <w:bCs/>
          <w:kern w:val="2"/>
          <w:szCs w:val="24"/>
          <w:lang w:val="hr-HR" w:eastAsia="ar-SA"/>
        </w:rPr>
      </w:r>
    </w:p>
    <w:p>
      <w:pPr>
        <w:pStyle w:val="Normal"/>
        <w:widowControl w:val="false"/>
        <w:suppressAutoHyphens w:val="true"/>
        <w:jc w:val="center"/>
        <w:rPr>
          <w:rFonts w:eastAsia="Andale Sans UI" w:cs="Times New Roman"/>
          <w:b/>
          <w:b/>
          <w:bCs/>
          <w:kern w:val="2"/>
          <w:szCs w:val="24"/>
          <w:lang w:val="hr-HR" w:eastAsia="ar-SA"/>
        </w:rPr>
      </w:pPr>
      <w:r>
        <w:rPr>
          <w:rFonts w:eastAsia="Andale Sans UI" w:cs="Times New Roman"/>
          <w:b/>
          <w:bCs/>
          <w:kern w:val="2"/>
          <w:szCs w:val="24"/>
          <w:lang w:val="hr-HR" w:eastAsia="ar-SA"/>
        </w:rPr>
        <w:t>Izvještaj o realizaciji Programa javnih potreba u socijalnoj skrbi na području Općine Negoslavci za 2022. godin</w:t>
      </w:r>
      <w:r>
        <w:rPr>
          <w:rFonts w:eastAsia="Andale Sans UI" w:cs="Times New Roman"/>
          <w:b/>
          <w:bCs/>
          <w:kern w:val="2"/>
          <w:szCs w:val="24"/>
          <w:lang w:val="hr-HR" w:eastAsia="ar-SA"/>
        </w:rPr>
        <w:t>u</w:t>
      </w:r>
    </w:p>
    <w:p>
      <w:pPr>
        <w:pStyle w:val="Normal"/>
        <w:widowControl w:val="false"/>
        <w:suppressAutoHyphens w:val="true"/>
        <w:jc w:val="center"/>
        <w:rPr>
          <w:rFonts w:eastAsia="Andale Sans UI" w:cs="Times New Roman"/>
          <w:kern w:val="2"/>
          <w:szCs w:val="24"/>
          <w:lang w:val="hr-HR" w:eastAsia="ar-SA"/>
        </w:rPr>
      </w:pPr>
      <w:r>
        <w:rPr>
          <w:rFonts w:eastAsia="Andale Sans UI" w:cs="Times New Roman"/>
          <w:kern w:val="2"/>
          <w:szCs w:val="24"/>
          <w:lang w:val="hr-HR" w:eastAsia="ar-SA"/>
        </w:rPr>
      </w:r>
    </w:p>
    <w:p>
      <w:pPr>
        <w:pStyle w:val="Normal"/>
        <w:widowControl w:val="false"/>
        <w:suppressAutoHyphens w:val="true"/>
        <w:jc w:val="center"/>
        <w:rPr>
          <w:rFonts w:eastAsia="Andale Sans UI" w:cs="Times New Roman"/>
          <w:b/>
          <w:b/>
          <w:kern w:val="2"/>
          <w:szCs w:val="24"/>
          <w:lang w:val="hr-HR" w:eastAsia="ar-SA"/>
        </w:rPr>
      </w:pPr>
      <w:r>
        <w:rPr>
          <w:rFonts w:eastAsia="Andale Sans UI" w:cs="Times New Roman"/>
          <w:b/>
          <w:kern w:val="2"/>
          <w:szCs w:val="24"/>
          <w:lang w:val="hr-HR" w:eastAsia="ar-SA"/>
        </w:rPr>
        <w:t>Članak 1.</w:t>
      </w:r>
    </w:p>
    <w:p>
      <w:pPr>
        <w:pStyle w:val="Normal"/>
        <w:widowControl w:val="false"/>
        <w:suppressAutoHyphens w:val="true"/>
        <w:jc w:val="both"/>
        <w:rPr>
          <w:rFonts w:eastAsia="Andale Sans UI" w:cs="Times New Roman"/>
          <w:kern w:val="2"/>
          <w:szCs w:val="24"/>
          <w:lang w:val="en-AU" w:eastAsia="ar-SA"/>
        </w:rPr>
      </w:pPr>
      <w:r>
        <w:rPr>
          <w:rFonts w:eastAsia="Andale Sans UI" w:cs="Times New Roman"/>
          <w:kern w:val="2"/>
          <w:szCs w:val="24"/>
          <w:lang w:val="en-AU" w:eastAsia="ar-SA"/>
        </w:rPr>
        <w:tab/>
        <w:t>Utvrđuje se da je tijekom 2022. godine izvršen Program javnih potreba u socijalnoj skrbi na području Općine Negoslavci za 2022 godinu, kako slijedi.</w:t>
      </w:r>
    </w:p>
    <w:p>
      <w:pPr>
        <w:pStyle w:val="Normal"/>
        <w:widowControl w:val="false"/>
        <w:suppressAutoHyphens w:val="true"/>
        <w:jc w:val="both"/>
        <w:rPr>
          <w:rFonts w:eastAsia="Andale Sans UI" w:cs="Times New Roman"/>
          <w:kern w:val="2"/>
          <w:szCs w:val="24"/>
          <w:lang w:val="en-AU" w:eastAsia="ar-SA"/>
        </w:rPr>
      </w:pPr>
      <w:r>
        <w:rPr>
          <w:rFonts w:eastAsia="Andale Sans UI" w:cs="Times New Roman"/>
          <w:kern w:val="2"/>
          <w:szCs w:val="24"/>
          <w:lang w:val="en-AU" w:eastAsia="ar-SA"/>
        </w:rPr>
      </w:r>
    </w:p>
    <w:p>
      <w:pPr>
        <w:pStyle w:val="Normal"/>
        <w:widowControl w:val="false"/>
        <w:suppressAutoHyphens w:val="true"/>
        <w:jc w:val="both"/>
        <w:rPr>
          <w:rFonts w:eastAsia="Andale Sans UI" w:cs="Times New Roman"/>
          <w:kern w:val="2"/>
          <w:szCs w:val="24"/>
          <w:lang w:val="en-AU" w:eastAsia="ar-SA"/>
        </w:rPr>
      </w:pPr>
      <w:r>
        <w:rPr>
          <w:rFonts w:eastAsia="Andale Sans UI" w:cs="Times New Roman"/>
          <w:kern w:val="2"/>
          <w:szCs w:val="24"/>
          <w:lang w:val="en-AU" w:eastAsia="ar-SA"/>
        </w:rPr>
        <w:tab/>
        <w:t>Prikaz planiranih sredstava i ostvarenja plana: Općinski proračun.</w:t>
      </w:r>
    </w:p>
    <w:p>
      <w:pPr>
        <w:pStyle w:val="Normal"/>
        <w:widowControl w:val="false"/>
        <w:suppressAutoHyphens w:val="true"/>
        <w:jc w:val="both"/>
        <w:rPr>
          <w:rFonts w:eastAsia="Andale Sans UI" w:cs="Times New Roman"/>
          <w:kern w:val="2"/>
          <w:szCs w:val="24"/>
          <w:lang w:val="en-AU" w:eastAsia="ar-SA"/>
        </w:rPr>
      </w:pPr>
      <w:r>
        <w:rPr>
          <w:rFonts w:eastAsia="Andale Sans UI" w:cs="Times New Roman"/>
          <w:kern w:val="2"/>
          <w:szCs w:val="24"/>
          <w:lang w:val="en-AU" w:eastAsia="ar-SA"/>
        </w:rPr>
      </w:r>
    </w:p>
    <w:p>
      <w:pPr>
        <w:pStyle w:val="Normal"/>
        <w:widowControl w:val="false"/>
        <w:suppressAutoHyphens w:val="true"/>
        <w:jc w:val="center"/>
        <w:rPr>
          <w:rFonts w:eastAsia="Andale Sans UI" w:cs="Times New Roman"/>
          <w:b/>
          <w:b/>
          <w:kern w:val="2"/>
          <w:szCs w:val="24"/>
          <w:lang w:val="en-AU" w:eastAsia="ar-SA"/>
        </w:rPr>
      </w:pPr>
      <w:r>
        <w:rPr>
          <w:rFonts w:eastAsia="Andale Sans UI" w:cs="Times New Roman"/>
          <w:b/>
          <w:kern w:val="2"/>
          <w:szCs w:val="24"/>
          <w:lang w:val="en-AU" w:eastAsia="ar-SA"/>
        </w:rPr>
        <w:t>Članak 2.</w:t>
      </w:r>
    </w:p>
    <w:p>
      <w:pPr>
        <w:pStyle w:val="Normal"/>
        <w:widowControl w:val="false"/>
        <w:suppressAutoHyphens w:val="true"/>
        <w:jc w:val="both"/>
        <w:rPr>
          <w:rFonts w:eastAsia="Andale Sans UI" w:cs="Times New Roman"/>
          <w:kern w:val="2"/>
          <w:szCs w:val="24"/>
          <w:lang w:val="en-AU" w:eastAsia="ar-SA"/>
        </w:rPr>
      </w:pPr>
      <w:r>
        <w:rPr>
          <w:rFonts w:eastAsia="Andale Sans UI" w:cs="Times New Roman"/>
          <w:kern w:val="2"/>
          <w:szCs w:val="24"/>
          <w:lang w:val="en-AU" w:eastAsia="ar-SA"/>
        </w:rPr>
        <w:tab/>
        <w:t>Prikaz planiranih i izvršenih sredstava iz Općinskog proračuna Općine Negoslavci.</w:t>
      </w:r>
    </w:p>
    <w:p>
      <w:pPr>
        <w:pStyle w:val="Normal"/>
        <w:widowControl w:val="false"/>
        <w:suppressAutoHyphens w:val="true"/>
        <w:jc w:val="both"/>
        <w:rPr>
          <w:rFonts w:eastAsia="Andale Sans UI" w:cs="Times New Roman"/>
          <w:kern w:val="2"/>
          <w:szCs w:val="24"/>
          <w:lang w:val="en-AU" w:eastAsia="ar-SA"/>
        </w:rPr>
      </w:pPr>
      <w:r>
        <w:rPr>
          <w:rFonts w:eastAsia="Andale Sans UI" w:cs="Times New Roman"/>
          <w:kern w:val="2"/>
          <w:szCs w:val="24"/>
          <w:lang w:val="en-AU" w:eastAsia="ar-SA"/>
        </w:rPr>
      </w:r>
    </w:p>
    <w:tbl>
      <w:tblPr>
        <w:tblStyle w:val="Reetkatablice"/>
        <w:tblW w:w="8320" w:type="dxa"/>
        <w:jc w:val="left"/>
        <w:tblInd w:w="5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31"/>
        <w:gridCol w:w="2276"/>
        <w:gridCol w:w="2213"/>
      </w:tblGrid>
      <w:tr>
        <w:trPr/>
        <w:tc>
          <w:tcPr>
            <w:tcW w:w="383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eastAsia="Times New Roman" w:cs="Times New Roman"/>
                <w:b/>
                <w:b/>
                <w:bCs/>
                <w:szCs w:val="24"/>
                <w:lang w:val="en-AU" w:eastAsia="hr-HR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en-AU" w:eastAsia="hr-HR" w:bidi="ar-SA"/>
              </w:rPr>
              <w:t>NAZIV</w:t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eastAsia="Times New Roman" w:cs="Times New Roman"/>
                <w:b/>
                <w:b/>
                <w:bCs/>
                <w:szCs w:val="24"/>
                <w:lang w:val="en-AU" w:eastAsia="hr-HR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en-AU" w:eastAsia="hr-HR" w:bidi="ar-SA"/>
              </w:rPr>
              <w:t>PLANIRANO</w:t>
            </w:r>
          </w:p>
        </w:tc>
        <w:tc>
          <w:tcPr>
            <w:tcW w:w="2213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eastAsia="Times New Roman" w:cs="Times New Roman"/>
                <w:b/>
                <w:b/>
                <w:bCs/>
                <w:szCs w:val="24"/>
                <w:lang w:val="en-AU" w:eastAsia="hr-HR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en-AU" w:eastAsia="hr-HR" w:bidi="ar-SA"/>
              </w:rPr>
              <w:t>OSTVARENO</w:t>
            </w:r>
          </w:p>
        </w:tc>
      </w:tr>
      <w:tr>
        <w:trPr/>
        <w:tc>
          <w:tcPr>
            <w:tcW w:w="383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AU" w:eastAsia="hr-HR" w:bidi="ar-SA"/>
              </w:rPr>
              <w:t>Pomoć obitelji i kućanstvima</w:t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AU" w:eastAsia="hr-HR" w:bidi="ar-SA"/>
              </w:rPr>
              <w:t>31.000,00 kn</w:t>
            </w:r>
          </w:p>
        </w:tc>
        <w:tc>
          <w:tcPr>
            <w:tcW w:w="2213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AU" w:eastAsia="hr-HR" w:bidi="ar-SA"/>
              </w:rPr>
              <w:t>14.000,00 kn</w:t>
            </w:r>
          </w:p>
        </w:tc>
      </w:tr>
      <w:tr>
        <w:trPr/>
        <w:tc>
          <w:tcPr>
            <w:tcW w:w="383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AU" w:eastAsia="hr-HR" w:bidi="ar-SA"/>
              </w:rPr>
              <w:t>Jednokratne pomoći</w:t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AU" w:eastAsia="hr-HR" w:bidi="ar-SA"/>
              </w:rPr>
              <w:t>80.000,00 kn</w:t>
            </w:r>
          </w:p>
        </w:tc>
        <w:tc>
          <w:tcPr>
            <w:tcW w:w="2213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AU" w:eastAsia="hr-HR" w:bidi="ar-SA"/>
              </w:rPr>
              <w:t>78.600,00 kn</w:t>
            </w:r>
          </w:p>
        </w:tc>
      </w:tr>
      <w:tr>
        <w:trPr/>
        <w:tc>
          <w:tcPr>
            <w:tcW w:w="383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AU" w:eastAsia="hr-HR" w:bidi="ar-SA"/>
              </w:rPr>
              <w:t>Jednokratne pomoći umirovljenicima</w:t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AU" w:eastAsia="hr-HR" w:bidi="ar-SA"/>
              </w:rPr>
              <w:t>70.000,00 kn</w:t>
            </w:r>
          </w:p>
        </w:tc>
        <w:tc>
          <w:tcPr>
            <w:tcW w:w="2213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AU" w:eastAsia="hr-HR" w:bidi="ar-SA"/>
              </w:rPr>
              <w:t>64.100,00 kn</w:t>
            </w:r>
          </w:p>
        </w:tc>
      </w:tr>
      <w:tr>
        <w:trPr/>
        <w:tc>
          <w:tcPr>
            <w:tcW w:w="383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AU" w:eastAsia="hr-HR" w:bidi="ar-SA"/>
              </w:rPr>
              <w:t>Paketi za potrebite</w:t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AU" w:eastAsia="hr-HR" w:bidi="ar-SA"/>
              </w:rPr>
              <w:t>30.000,00 kn</w:t>
            </w:r>
          </w:p>
        </w:tc>
        <w:tc>
          <w:tcPr>
            <w:tcW w:w="2213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AU" w:eastAsia="hr-HR" w:bidi="ar-SA"/>
              </w:rPr>
              <w:t>10.000,00 kn</w:t>
            </w:r>
          </w:p>
        </w:tc>
      </w:tr>
      <w:tr>
        <w:trPr/>
        <w:tc>
          <w:tcPr>
            <w:tcW w:w="383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AU" w:eastAsia="hr-HR" w:bidi="ar-SA"/>
              </w:rPr>
              <w:t>Sufinanciranje prijevoza građana</w:t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AU" w:eastAsia="hr-HR" w:bidi="ar-SA"/>
              </w:rPr>
              <w:t>86.500,00 kn</w:t>
            </w:r>
          </w:p>
        </w:tc>
        <w:tc>
          <w:tcPr>
            <w:tcW w:w="2213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AU" w:eastAsia="hr-HR" w:bidi="ar-SA"/>
              </w:rPr>
              <w:t>74.175,41 kn</w:t>
            </w:r>
          </w:p>
        </w:tc>
      </w:tr>
      <w:tr>
        <w:trPr/>
        <w:tc>
          <w:tcPr>
            <w:tcW w:w="383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AU" w:eastAsia="hr-HR" w:bidi="ar-SA"/>
              </w:rPr>
              <w:t>Ogrijev</w:t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AU" w:eastAsia="hr-HR" w:bidi="ar-SA"/>
              </w:rPr>
              <w:t>10.000,00 kn</w:t>
            </w:r>
          </w:p>
        </w:tc>
        <w:tc>
          <w:tcPr>
            <w:tcW w:w="2213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AU" w:eastAsia="hr-HR" w:bidi="ar-SA"/>
              </w:rPr>
              <w:t>-</w:t>
            </w:r>
          </w:p>
        </w:tc>
      </w:tr>
      <w:tr>
        <w:trPr/>
        <w:tc>
          <w:tcPr>
            <w:tcW w:w="383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AU" w:eastAsia="hr-HR" w:bidi="ar-SA"/>
              </w:rPr>
              <w:t>Dječji paketići</w:t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AU" w:eastAsia="hr-HR" w:bidi="ar-SA"/>
              </w:rPr>
              <w:t>30.000,00 kn</w:t>
            </w:r>
          </w:p>
        </w:tc>
        <w:tc>
          <w:tcPr>
            <w:tcW w:w="2213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AU" w:eastAsia="hr-HR" w:bidi="ar-SA"/>
              </w:rPr>
              <w:t>23.000,00 kn</w:t>
            </w:r>
          </w:p>
        </w:tc>
      </w:tr>
      <w:tr>
        <w:trPr/>
        <w:tc>
          <w:tcPr>
            <w:tcW w:w="383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eastAsia="Times New Roman" w:cs="Times New Roman"/>
                <w:b/>
                <w:b/>
                <w:bCs/>
                <w:szCs w:val="24"/>
                <w:lang w:val="en-AU" w:eastAsia="hr-HR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en-AU" w:eastAsia="hr-HR" w:bidi="ar-SA"/>
              </w:rPr>
              <w:t>UKUPNO</w:t>
            </w:r>
          </w:p>
        </w:tc>
        <w:tc>
          <w:tcPr>
            <w:tcW w:w="2276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AU" w:eastAsia="hr-HR" w:bidi="ar-SA"/>
              </w:rPr>
              <w:t>337.500,00 kn</w:t>
            </w:r>
          </w:p>
        </w:tc>
        <w:tc>
          <w:tcPr>
            <w:tcW w:w="2213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en-AU" w:eastAsia="hr-HR" w:bidi="ar-SA"/>
              </w:rPr>
              <w:t>263.867,24 kn</w:t>
            </w:r>
          </w:p>
        </w:tc>
      </w:tr>
    </w:tbl>
    <w:p>
      <w:pPr>
        <w:pStyle w:val="Normal"/>
        <w:widowControl w:val="false"/>
        <w:suppressAutoHyphens w:val="true"/>
        <w:jc w:val="both"/>
        <w:rPr>
          <w:rFonts w:eastAsia="Andale Sans UI" w:cs="Times New Roman"/>
          <w:kern w:val="2"/>
          <w:szCs w:val="24"/>
          <w:lang w:val="en-AU" w:eastAsia="ar-SA"/>
        </w:rPr>
      </w:pPr>
      <w:r>
        <w:rPr>
          <w:rFonts w:eastAsia="Andale Sans UI" w:cs="Times New Roman"/>
          <w:kern w:val="2"/>
          <w:szCs w:val="24"/>
          <w:lang w:val="en-AU" w:eastAsia="ar-SA"/>
        </w:rPr>
      </w:r>
    </w:p>
    <w:p>
      <w:pPr>
        <w:pStyle w:val="Normal"/>
        <w:widowControl w:val="false"/>
        <w:suppressAutoHyphens w:val="true"/>
        <w:jc w:val="center"/>
        <w:rPr>
          <w:rFonts w:eastAsia="Andale Sans UI" w:cs="Times New Roman"/>
          <w:b/>
          <w:b/>
          <w:kern w:val="2"/>
          <w:szCs w:val="24"/>
          <w:lang w:val="en-AU" w:eastAsia="ar-SA"/>
        </w:rPr>
      </w:pPr>
      <w:r>
        <w:rPr>
          <w:rFonts w:eastAsia="Andale Sans UI" w:cs="Times New Roman"/>
          <w:b/>
          <w:kern w:val="2"/>
          <w:szCs w:val="24"/>
          <w:lang w:val="en-AU" w:eastAsia="ar-SA"/>
        </w:rPr>
        <w:t>Članak 3.</w:t>
      </w:r>
    </w:p>
    <w:p>
      <w:pPr>
        <w:pStyle w:val="Normal"/>
        <w:widowControl w:val="false"/>
        <w:suppressAutoHyphens w:val="true"/>
        <w:jc w:val="both"/>
        <w:rPr>
          <w:rFonts w:eastAsia="Andale Sans UI" w:cs="Times New Roman"/>
          <w:kern w:val="2"/>
          <w:szCs w:val="24"/>
          <w:lang w:val="en-AU" w:eastAsia="ar-SA"/>
        </w:rPr>
      </w:pPr>
      <w:r>
        <w:rPr>
          <w:rFonts w:eastAsia="Andale Sans UI" w:cs="Times New Roman"/>
          <w:kern w:val="2"/>
          <w:szCs w:val="24"/>
          <w:lang w:val="en-AU" w:eastAsia="ar-SA"/>
        </w:rPr>
        <w:tab/>
        <w:t>Izvještaj se dostavlja Općinskom vijeću na razmatranje i odlučivanje.</w:t>
      </w:r>
    </w:p>
    <w:p>
      <w:pPr>
        <w:pStyle w:val="Normal"/>
        <w:widowControl w:val="false"/>
        <w:suppressAutoHyphens w:val="true"/>
        <w:jc w:val="both"/>
        <w:rPr>
          <w:rFonts w:eastAsia="Andale Sans UI" w:cs="Times New Roman"/>
          <w:kern w:val="2"/>
          <w:szCs w:val="24"/>
          <w:lang w:val="en-AU" w:eastAsia="ar-SA"/>
        </w:rPr>
      </w:pPr>
      <w:r>
        <w:rPr>
          <w:rFonts w:eastAsia="Andale Sans UI" w:cs="Times New Roman"/>
          <w:kern w:val="2"/>
          <w:szCs w:val="24"/>
          <w:lang w:val="en-AU" w:eastAsia="ar-SA"/>
        </w:rPr>
      </w:r>
    </w:p>
    <w:p>
      <w:pPr>
        <w:pStyle w:val="Normal"/>
        <w:widowControl w:val="false"/>
        <w:suppressAutoHyphens w:val="true"/>
        <w:jc w:val="center"/>
        <w:rPr>
          <w:rFonts w:eastAsia="Andale Sans UI" w:cs="Times New Roman"/>
          <w:b/>
          <w:b/>
          <w:kern w:val="2"/>
          <w:szCs w:val="24"/>
          <w:lang w:val="en-AU" w:eastAsia="ar-SA"/>
        </w:rPr>
      </w:pPr>
      <w:r>
        <w:rPr>
          <w:rFonts w:eastAsia="Andale Sans UI" w:cs="Times New Roman"/>
          <w:b/>
          <w:kern w:val="2"/>
          <w:szCs w:val="24"/>
          <w:lang w:val="en-AU" w:eastAsia="ar-SA"/>
        </w:rPr>
        <w:t>Članak 4.</w:t>
      </w:r>
    </w:p>
    <w:p>
      <w:pPr>
        <w:pStyle w:val="Normal"/>
        <w:widowControl w:val="false"/>
        <w:suppressAutoHyphens w:val="true"/>
        <w:jc w:val="both"/>
        <w:rPr>
          <w:rFonts w:eastAsia="Andale Sans UI" w:cs="Times New Roman"/>
          <w:kern w:val="2"/>
          <w:szCs w:val="24"/>
          <w:lang w:val="en-AU" w:eastAsia="ar-SA"/>
        </w:rPr>
      </w:pPr>
      <w:r>
        <w:rPr>
          <w:rFonts w:eastAsia="Andale Sans UI" w:cs="Times New Roman"/>
          <w:kern w:val="2"/>
          <w:szCs w:val="24"/>
          <w:lang w:val="en-AU" w:eastAsia="ar-SA"/>
        </w:rPr>
        <w:tab/>
        <w:t>Izvješće će se objaviti u “Službenom glasniku Općine Negoslavci” i na internet stranici Općine Negoslavci.</w:t>
      </w:r>
      <w:r>
        <w:rPr>
          <w:rFonts w:eastAsia="Times New Roman" w:cs="Times New Roman"/>
          <w:kern w:val="2"/>
          <w:szCs w:val="24"/>
          <w:lang w:val="en-AU" w:eastAsia="ar-SA"/>
        </w:rPr>
        <w:t xml:space="preserve">                          </w:t>
      </w:r>
      <w:r>
        <w:rPr>
          <w:rFonts w:eastAsia="Andale Sans UI" w:cs="Times New Roman"/>
          <w:kern w:val="2"/>
          <w:szCs w:val="24"/>
          <w:lang w:val="en-AU" w:eastAsia="ar-SA"/>
        </w:rPr>
        <w:tab/>
        <w:tab/>
        <w:tab/>
        <w:tab/>
        <w:tab/>
        <w:tab/>
        <w:t xml:space="preserve">                </w:t>
      </w:r>
    </w:p>
    <w:p>
      <w:pPr>
        <w:pStyle w:val="Normal"/>
        <w:widowControl w:val="false"/>
        <w:suppressAutoHyphens w:val="true"/>
        <w:rPr>
          <w:rFonts w:eastAsia="Andale Sans UI" w:cs="Times New Roman"/>
          <w:b/>
          <w:b/>
          <w:bCs/>
          <w:kern w:val="2"/>
          <w:szCs w:val="24"/>
          <w:lang w:val="en-AU" w:eastAsia="ar-SA"/>
        </w:rPr>
      </w:pPr>
      <w:r>
        <w:rPr>
          <w:rFonts w:eastAsia="Andale Sans UI" w:cs="Times New Roman"/>
          <w:b/>
          <w:bCs/>
          <w:kern w:val="2"/>
          <w:szCs w:val="24"/>
          <w:lang w:val="en-AU" w:eastAsia="ar-SA"/>
        </w:rPr>
      </w:r>
    </w:p>
    <w:p>
      <w:pPr>
        <w:pStyle w:val="Normal"/>
        <w:widowControl w:val="false"/>
        <w:suppressAutoHyphens w:val="true"/>
        <w:ind w:left="5648" w:firstLine="706"/>
        <w:jc w:val="right"/>
        <w:rPr>
          <w:rFonts w:eastAsia="Andale Sans UI" w:cs="Times New Roman"/>
          <w:b/>
          <w:b/>
          <w:bCs/>
          <w:kern w:val="2"/>
          <w:szCs w:val="24"/>
          <w:lang w:val="en-AU" w:eastAsia="ar-SA"/>
        </w:rPr>
      </w:pPr>
      <w:r>
        <w:rPr>
          <w:rFonts w:eastAsia="Andale Sans UI" w:cs="Times New Roman"/>
          <w:b/>
          <w:bCs/>
          <w:kern w:val="2"/>
          <w:szCs w:val="24"/>
          <w:lang w:val="en-AU" w:eastAsia="ar-SA"/>
        </w:rPr>
        <w:t>OPĆINSKI NAČELNIK</w:t>
      </w:r>
    </w:p>
    <w:p>
      <w:pPr>
        <w:pStyle w:val="Normal"/>
        <w:widowControl w:val="false"/>
        <w:suppressAutoHyphens w:val="true"/>
        <w:jc w:val="right"/>
        <w:rPr>
          <w:rFonts w:eastAsia="Andale Sans UI" w:cs="Times New Roman"/>
          <w:i/>
          <w:i/>
          <w:iCs/>
          <w:kern w:val="2"/>
          <w:szCs w:val="24"/>
          <w:u w:val="single"/>
          <w:lang w:val="en-AU" w:eastAsia="ar-SA"/>
        </w:rPr>
      </w:pPr>
      <w:r>
        <w:rPr>
          <w:rFonts w:eastAsia="Andale Sans UI" w:cs="Times New Roman"/>
          <w:kern w:val="2"/>
          <w:szCs w:val="24"/>
          <w:lang w:val="en-AU" w:eastAsia="ar-SA"/>
        </w:rPr>
        <w:tab/>
        <w:tab/>
        <w:tab/>
        <w:tab/>
        <w:tab/>
        <w:tab/>
        <w:tab/>
        <w:tab/>
        <w:t xml:space="preserve">               </w:t>
      </w:r>
      <w:r>
        <w:rPr>
          <w:rFonts w:eastAsia="Andale Sans UI" w:cs="Times New Roman"/>
          <w:kern w:val="2"/>
          <w:szCs w:val="24"/>
          <w:lang w:val="hr-HR" w:eastAsia="ar-SA"/>
        </w:rPr>
        <w:t xml:space="preserve">        </w:t>
      </w:r>
      <w:r>
        <w:rPr>
          <w:rFonts w:eastAsia="Andale Sans UI" w:cs="Times New Roman"/>
          <w:kern w:val="2"/>
          <w:szCs w:val="24"/>
          <w:lang w:val="en-AU" w:eastAsia="ar-SA"/>
        </w:rPr>
        <w:t xml:space="preserve">Dušan Jeckov </w: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10476"/>
    <w:pPr>
      <w:widowControl/>
      <w:bidi w:val="0"/>
      <w:spacing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BalloonText"/>
    <w:uiPriority w:val="99"/>
    <w:semiHidden/>
    <w:qFormat/>
    <w:rsid w:val="000717a2"/>
    <w:rPr>
      <w:rFonts w:ascii="Tahoma" w:hAnsi="Tahoma" w:cs="Tahoma"/>
      <w:sz w:val="16"/>
      <w:szCs w:val="1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0717a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6d0f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LibreOffice/7.4.1.2$Windows_X86_64 LibreOffice_project/3c58a8f3a960df8bc8fd77b461821e42c061c5f0</Application>
  <AppVersion>15.0000</AppVersion>
  <Pages>1</Pages>
  <Words>198</Words>
  <Characters>1281</Characters>
  <CharactersWithSpaces>1552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2022-04-05T11:24:00Z</dcterms:created>
  <dc:creator>Korisnik</dc:creator>
  <dc:description/>
  <dc:language>hr-HR</dc:language>
  <cp:lastModifiedBy/>
  <dcterms:modified xsi:type="dcterms:W3CDTF">2023-03-28T10:24:59Z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