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 w:val="20"/>
          <w:szCs w:val="24"/>
          <w:lang w:val="hr-HR" w:eastAsia="zh-CN"/>
        </w:rPr>
      </w:pPr>
      <w:r>
        <w:rPr>
          <w:rFonts w:eastAsia="Calibri" w:cs="Times New Roman"/>
          <w:b/>
          <w:kern w:val="2"/>
          <w:sz w:val="20"/>
          <w:szCs w:val="24"/>
          <w:lang w:val="hr-HR" w:eastAsia="zh-CN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 w:val="20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ab/>
        <w:t>REPUBLIKA HRVATSKA</w:t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VUKOVARSKO-SRIJEMSKA ŽUPANIJA</w:t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OPĆINA NEGOSLAVCI</w:t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Općinski načelnik</w:t>
      </w:r>
    </w:p>
    <w:p>
      <w:pPr>
        <w:pStyle w:val="Normal"/>
        <w:suppressAutoHyphens w:val="true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 xml:space="preserve">KLASA: </w:t>
      </w:r>
      <w:r>
        <w:rPr>
          <w:rFonts w:eastAsia="Calibri" w:cs="Times New Roman"/>
          <w:szCs w:val="24"/>
          <w:lang w:val="hr-HR"/>
        </w:rPr>
        <w:t>400-08/21-01/01</w:t>
      </w:r>
    </w:p>
    <w:p>
      <w:pPr>
        <w:pStyle w:val="Normal"/>
        <w:suppressAutoHyphens w:val="true"/>
        <w:jc w:val="both"/>
        <w:rPr>
          <w:rFonts w:eastAsia="Calibri" w:cs="Times New Roman"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 xml:space="preserve">URBROJ: </w:t>
      </w:r>
      <w:bookmarkStart w:id="0" w:name="_Hlk100039393"/>
      <w:r>
        <w:rPr>
          <w:rFonts w:eastAsia="Calibri" w:cs="Times New Roman"/>
          <w:kern w:val="2"/>
          <w:szCs w:val="24"/>
          <w:lang w:val="hr-HR" w:eastAsia="zh-CN"/>
        </w:rPr>
        <w:t>2196-19-01-23</w:t>
      </w:r>
      <w:r>
        <w:rPr>
          <w:rFonts w:eastAsia="Calibri" w:cs="Times New Roman"/>
          <w:color w:val="000000" w:themeColor="text1"/>
          <w:kern w:val="2"/>
          <w:szCs w:val="24"/>
          <w:lang w:val="hr-HR" w:eastAsia="zh-CN"/>
        </w:rPr>
        <w:t>-37</w:t>
      </w:r>
      <w:bookmarkEnd w:id="0"/>
    </w:p>
    <w:p>
      <w:pPr>
        <w:pStyle w:val="Normal"/>
        <w:suppressAutoHyphens w:val="true"/>
        <w:jc w:val="both"/>
        <w:rPr>
          <w:rFonts w:eastAsia="Calibri" w:cs="Times New Roman"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 xml:space="preserve">Negoslavci, </w:t>
      </w:r>
      <w:r>
        <w:rPr>
          <w:rFonts w:eastAsia="Calibri" w:cs="Times New Roman"/>
          <w:kern w:val="2"/>
          <w:szCs w:val="24"/>
          <w:lang w:val="hr-HR" w:eastAsia="zh-CN"/>
        </w:rPr>
        <w:t>21.03.2023. godine</w:t>
      </w:r>
    </w:p>
    <w:p>
      <w:pPr>
        <w:pStyle w:val="Normal"/>
        <w:widowControl w:val="false"/>
        <w:suppressAutoHyphens w:val="true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Times New Roman" w:cs="Times New Roman"/>
          <w:kern w:val="2"/>
          <w:szCs w:val="24"/>
          <w:lang w:val="hr-HR" w:eastAsia="ar-SA"/>
        </w:rPr>
        <w:tab/>
        <w:tab/>
        <w:tab/>
        <w:tab/>
        <w:t xml:space="preserve">                            </w:t>
      </w:r>
    </w:p>
    <w:p>
      <w:pPr>
        <w:pStyle w:val="Normal"/>
        <w:widowControl w:val="false"/>
        <w:suppressAutoHyphens w:val="true"/>
        <w:ind w:firstLine="720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 xml:space="preserve">Na temelju </w:t>
      </w:r>
      <w:r>
        <w:rPr>
          <w:rFonts w:eastAsia="Andale Sans UI" w:cs="Times New Roman"/>
          <w:kern w:val="2"/>
          <w:szCs w:val="24"/>
          <w:lang w:val="hr-HR" w:eastAsia="ar-SA"/>
        </w:rPr>
        <w:t xml:space="preserve">članka 76. Zakona o sportu („Narodne novine“ broj 71/06, 150/08, 124/10, 124/11, 94/13, 85/15, 19/16, 98/19, 47/20 i 77/20) i </w:t>
      </w:r>
      <w:r>
        <w:rPr>
          <w:rFonts w:eastAsia="Andale Sans UI" w:cs="Times New Roman"/>
          <w:kern w:val="2"/>
          <w:szCs w:val="24"/>
          <w:lang w:val="en-AU" w:eastAsia="ar-SA"/>
        </w:rPr>
        <w:t>članka 32., stavka 2., točke 2. Statuta Općine Negoslavci (“Službeni glasnik Općine Negoslavci” broj 01/21), Općinski načelnik Općine Negoslavci dana 21.03.2023. godine donosi</w:t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bCs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bCs/>
          <w:kern w:val="2"/>
          <w:szCs w:val="24"/>
          <w:lang w:val="hr-HR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bCs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bCs/>
          <w:kern w:val="2"/>
          <w:szCs w:val="24"/>
          <w:lang w:val="hr-HR" w:eastAsia="ar-SA"/>
        </w:rPr>
        <w:t>Izvještaj o realizaciji Programa javnih potreba u sportu na području Općine Negoslavci za 2022. godin</w:t>
      </w:r>
      <w:r>
        <w:rPr>
          <w:rFonts w:eastAsia="Andale Sans UI" w:cs="Times New Roman"/>
          <w:b/>
          <w:bCs/>
          <w:kern w:val="2"/>
          <w:szCs w:val="24"/>
          <w:lang w:val="hr-HR" w:eastAsia="ar-SA"/>
        </w:rPr>
        <w:t>u</w:t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kern w:val="2"/>
          <w:szCs w:val="24"/>
          <w:lang w:val="hr-HR" w:eastAsia="ar-SA"/>
        </w:rPr>
      </w:pPr>
      <w:r>
        <w:rPr>
          <w:rFonts w:eastAsia="Andale Sans UI" w:cs="Times New Roman"/>
          <w:kern w:val="2"/>
          <w:szCs w:val="24"/>
          <w:lang w:val="hr-HR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kern w:val="2"/>
          <w:szCs w:val="24"/>
          <w:lang w:val="hr-HR" w:eastAsia="ar-SA"/>
        </w:rPr>
        <w:t>Članak 1.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Utvrđuje se da je tijekom 2022. godine izvršen Program javnih potreba u sportu na području Općine Negoslavci za 2022 godinu, kako slijedi.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Prikaz planiranih sredstava i ostvarenja plana: Općinski proračun i kapitalna donacija od Zajedničkog vijeća općina Vukovar.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kern w:val="2"/>
          <w:szCs w:val="24"/>
          <w:lang w:val="en-AU" w:eastAsia="ar-SA"/>
        </w:rPr>
        <w:t>Članak 2.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Prikaz planiranih i izvršenih sredstava iz Općinskog proračuna Općine Negoslavci.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tbl>
      <w:tblPr>
        <w:tblW w:w="9143" w:type="dxa"/>
        <w:jc w:val="left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458"/>
        <w:gridCol w:w="1841"/>
        <w:gridCol w:w="1844"/>
      </w:tblGrid>
      <w:tr>
        <w:trPr/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rPr>
                <w:rFonts w:eastAsia="Andale Sans UI"/>
                <w:b/>
                <w:b/>
                <w:bCs/>
                <w:szCs w:val="24"/>
                <w:lang w:val="hr-HR" w:eastAsia="ar-SA"/>
              </w:rPr>
            </w:pPr>
            <w:r>
              <w:rPr>
                <w:rFonts w:eastAsia="Andale Sans UI"/>
                <w:b/>
                <w:bCs/>
                <w:szCs w:val="24"/>
                <w:lang w:val="hr-HR" w:eastAsia="ar-SA"/>
              </w:rPr>
              <w:t>NAZIV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right"/>
              <w:rPr>
                <w:rFonts w:eastAsia="Andale Sans UI"/>
                <w:b/>
                <w:b/>
                <w:bCs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b/>
                <w:bCs/>
                <w:color w:val="000000"/>
                <w:szCs w:val="24"/>
                <w:lang w:val="hr-HR" w:eastAsia="ar-SA"/>
              </w:rPr>
              <w:t>PLAN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right"/>
              <w:rPr>
                <w:rFonts w:eastAsia="Andale Sans UI"/>
                <w:b/>
                <w:b/>
                <w:bCs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b/>
                <w:bCs/>
                <w:color w:val="000000"/>
                <w:szCs w:val="24"/>
                <w:lang w:val="hr-HR" w:eastAsia="ar-SA"/>
              </w:rPr>
              <w:t>OSTVARENO</w:t>
            </w:r>
          </w:p>
        </w:tc>
      </w:tr>
      <w:tr>
        <w:trPr/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Sredstva predviđena za programe, projekte i aktivnosti koje provode udruge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429.000,00 kn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429.000,00 kn</w:t>
            </w:r>
          </w:p>
        </w:tc>
      </w:tr>
      <w:tr>
        <w:trPr/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Sredstva za sufinanciranje radova na objektima Nogometnog kluba Negoslavci (izgradnja teretane NK Negoslavci, uređenje zgrade)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szCs w:val="24"/>
              </w:rPr>
              <w:t>600.000,00 kn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432.919,03 kn</w:t>
            </w:r>
          </w:p>
        </w:tc>
      </w:tr>
      <w:tr>
        <w:trPr/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rPr>
                <w:rFonts w:eastAsia="Times New Roman" w:cs="Times New Roman"/>
                <w:sz w:val="22"/>
                <w:lang w:val="hr-HR" w:eastAsia="zh-CN"/>
              </w:rPr>
            </w:pPr>
            <w:r>
              <w:rPr>
                <w:rFonts w:eastAsia="Times New Roman" w:cs="Times New Roman"/>
                <w:sz w:val="22"/>
                <w:lang w:val="hr-HR" w:eastAsia="zh-CN"/>
              </w:rPr>
              <w:t>Uređenje malonogometnog igrališta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lang w:val="hr-HR" w:eastAsia="zh-CN"/>
              </w:rPr>
              <w:t>0,00 kn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lang w:val="hr-HR" w:eastAsia="zh-CN"/>
              </w:rPr>
              <w:t>0,00 kn</w:t>
            </w:r>
          </w:p>
        </w:tc>
      </w:tr>
      <w:tr>
        <w:trPr>
          <w:trHeight w:val="23" w:hRule="atLeast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rPr>
                <w:rFonts w:eastAsia="Andale Sans UI"/>
                <w:b/>
                <w:b/>
                <w:bCs/>
                <w:szCs w:val="24"/>
                <w:lang w:val="hr-HR" w:eastAsia="ar-SA"/>
              </w:rPr>
            </w:pPr>
            <w:r>
              <w:rPr>
                <w:rFonts w:eastAsia="Andale Sans UI"/>
                <w:b/>
                <w:bCs/>
                <w:szCs w:val="24"/>
                <w:lang w:val="hr-HR" w:eastAsia="ar-SA"/>
              </w:rPr>
              <w:t>UKUPNO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right"/>
              <w:rPr>
                <w:rFonts w:eastAsia="Andale Sans UI"/>
                <w:b/>
                <w:b/>
                <w:bCs/>
                <w:szCs w:val="24"/>
                <w:lang w:val="hr-HR" w:eastAsia="ar-SA"/>
              </w:rPr>
            </w:pPr>
            <w:r>
              <w:rPr>
                <w:rFonts w:eastAsia="Andale Sans UI"/>
                <w:b/>
                <w:bCs/>
                <w:szCs w:val="24"/>
                <w:lang w:val="hr-HR" w:eastAsia="ar-SA"/>
              </w:rPr>
              <w:t>1.029.000,00 kn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right"/>
              <w:rPr>
                <w:rFonts w:eastAsia="Andale Sans UI"/>
                <w:b/>
                <w:b/>
                <w:bCs/>
                <w:szCs w:val="24"/>
                <w:lang w:val="hr-HR" w:eastAsia="ar-SA"/>
              </w:rPr>
            </w:pPr>
            <w:r>
              <w:rPr>
                <w:rFonts w:eastAsia="Andale Sans UI"/>
                <w:b/>
                <w:bCs/>
                <w:szCs w:val="24"/>
                <w:lang w:val="hr-HR" w:eastAsia="ar-SA"/>
              </w:rPr>
              <w:t>861.919,03 kn</w:t>
            </w:r>
          </w:p>
        </w:tc>
      </w:tr>
    </w:tbl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kern w:val="2"/>
          <w:szCs w:val="24"/>
          <w:lang w:val="en-AU" w:eastAsia="ar-SA"/>
        </w:rPr>
        <w:t>Članak 3.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Izvještaj se dostavlja Općinskom vijeću na razmatranje i odlučivanje.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kern w:val="2"/>
          <w:szCs w:val="24"/>
          <w:lang w:val="en-AU" w:eastAsia="ar-SA"/>
        </w:rPr>
        <w:t>Članak 4.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Izvješće će se objaviti u “Službenom glasniku Općine Negoslavci” i na internet stranici Općine Negoslavci.</w:t>
      </w:r>
      <w:r>
        <w:rPr>
          <w:rFonts w:eastAsia="Times New Roman" w:cs="Times New Roman"/>
          <w:kern w:val="2"/>
          <w:szCs w:val="24"/>
          <w:lang w:val="en-AU" w:eastAsia="ar-SA"/>
        </w:rPr>
        <w:t xml:space="preserve">                          </w:t>
      </w:r>
      <w:r>
        <w:rPr>
          <w:rFonts w:eastAsia="Andale Sans UI" w:cs="Times New Roman"/>
          <w:kern w:val="2"/>
          <w:szCs w:val="24"/>
          <w:lang w:val="en-AU" w:eastAsia="ar-SA"/>
        </w:rPr>
        <w:tab/>
        <w:tab/>
        <w:tab/>
        <w:tab/>
        <w:tab/>
        <w:tab/>
        <w:t xml:space="preserve">                </w:t>
      </w:r>
    </w:p>
    <w:p>
      <w:pPr>
        <w:pStyle w:val="Normal"/>
        <w:widowControl w:val="false"/>
        <w:suppressAutoHyphens w:val="true"/>
        <w:rPr>
          <w:rFonts w:eastAsia="Andale Sans UI" w:cs="Times New Roman"/>
          <w:b/>
          <w:b/>
          <w:bCs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bCs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ind w:left="5648" w:firstLine="706"/>
        <w:jc w:val="right"/>
        <w:rPr>
          <w:rFonts w:eastAsia="Andale Sans UI" w:cs="Times New Roman"/>
          <w:b/>
          <w:b/>
          <w:bCs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bCs/>
          <w:kern w:val="2"/>
          <w:szCs w:val="24"/>
          <w:lang w:val="en-AU" w:eastAsia="ar-SA"/>
        </w:rPr>
        <w:t>OPĆINSKI NAČELNIK:</w:t>
      </w:r>
    </w:p>
    <w:p>
      <w:pPr>
        <w:pStyle w:val="Normal"/>
        <w:widowControl w:val="false"/>
        <w:suppressAutoHyphens w:val="true"/>
        <w:jc w:val="right"/>
        <w:rPr>
          <w:rFonts w:eastAsia="Andale Sans UI" w:cs="Times New Roman"/>
          <w:i/>
          <w:i/>
          <w:iCs/>
          <w:kern w:val="2"/>
          <w:szCs w:val="24"/>
          <w:u w:val="single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ab/>
        <w:tab/>
        <w:tab/>
        <w:tab/>
        <w:tab/>
        <w:tab/>
        <w:tab/>
        <w:t xml:space="preserve">               </w:t>
      </w:r>
      <w:r>
        <w:rPr>
          <w:rFonts w:eastAsia="Andale Sans UI" w:cs="Times New Roman"/>
          <w:kern w:val="2"/>
          <w:szCs w:val="24"/>
          <w:lang w:val="hr-HR" w:eastAsia="ar-SA"/>
        </w:rPr>
        <w:t xml:space="preserve">        </w:t>
      </w:r>
      <w:r>
        <w:rPr>
          <w:rFonts w:eastAsia="Andale Sans UI" w:cs="Times New Roman"/>
          <w:kern w:val="2"/>
          <w:szCs w:val="24"/>
          <w:lang w:val="en-AU" w:eastAsia="ar-SA"/>
        </w:rPr>
        <w:t xml:space="preserve">Dušan Jeckov </w:t>
      </w:r>
    </w:p>
    <w:sectPr>
      <w:type w:val="nextPage"/>
      <w:pgSz w:w="12240" w:h="15840"/>
      <w:pgMar w:left="1440" w:right="1440" w:gutter="0" w:header="0" w:top="851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1001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036125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03612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LibreOffice/7.4.1.2$Windows_X86_64 LibreOffice_project/3c58a8f3a960df8bc8fd77b461821e42c061c5f0</Application>
  <AppVersion>15.0000</AppVersion>
  <Pages>1</Pages>
  <Words>207</Words>
  <Characters>1334</Characters>
  <CharactersWithSpaces>1626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2022-04-05T12:37:00Z</dcterms:created>
  <dc:creator>Korisnik</dc:creator>
  <dc:description/>
  <dc:language>hr-HR</dc:language>
  <cp:lastModifiedBy/>
  <dcterms:modified xsi:type="dcterms:W3CDTF">2023-03-28T11:17:41Z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