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REPUBLIKA HRVATSKA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VUKOVARSKO-SRIJEMSKA ŽUPANIJA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OPĆINA NEGOSLAVCI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Općinsko vijeće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KLASA:</w:t>
      </w:r>
      <w:r>
        <w:rPr>
          <w:rFonts w:eastAsia="Calibri" w:cs="Times New Roman"/>
          <w:sz w:val="22"/>
          <w:szCs w:val="22"/>
          <w:lang w:val="hr-HR"/>
        </w:rPr>
        <w:t xml:space="preserve"> </w:t>
      </w:r>
      <w:r>
        <w:rPr>
          <w:rFonts w:eastAsia="Calibri" w:cs="Times New Roman"/>
          <w:color w:val="000000"/>
          <w:sz w:val="22"/>
          <w:szCs w:val="22"/>
          <w:lang w:val="hr-HR"/>
        </w:rPr>
        <w:t>400-01/22-01</w:t>
      </w:r>
      <w:r>
        <w:rPr>
          <w:rFonts w:eastAsia="Calibri" w:cs="Times New Roman"/>
          <w:sz w:val="22"/>
          <w:szCs w:val="22"/>
          <w:lang w:val="hr-HR"/>
        </w:rPr>
        <w:t>/01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URBROJ:</w:t>
      </w:r>
      <w:r>
        <w:rPr>
          <w:rFonts w:eastAsia="Calibri" w:cs="Times New Roman"/>
          <w:sz w:val="22"/>
          <w:szCs w:val="22"/>
          <w:lang w:val="hr-HR"/>
        </w:rPr>
        <w:t xml:space="preserve"> 2196-19-02-2</w:t>
      </w:r>
      <w:r>
        <w:rPr>
          <w:rFonts w:eastAsia="Calibri" w:cs="Times New Roman"/>
          <w:color w:val="000000"/>
          <w:sz w:val="22"/>
          <w:szCs w:val="22"/>
          <w:lang w:val="hr-HR"/>
        </w:rPr>
        <w:t>3-</w:t>
      </w:r>
      <w:r>
        <w:rPr>
          <w:rFonts w:eastAsia="Calibri" w:cs="Times New Roman"/>
          <w:color w:val="000000"/>
          <w:sz w:val="22"/>
          <w:szCs w:val="22"/>
          <w:lang w:val="hr-HR"/>
        </w:rPr>
        <w:t>07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Negoslavci,</w:t>
      </w:r>
      <w:r>
        <w:rPr>
          <w:rFonts w:eastAsia="Calibri" w:cs="Times New Roman"/>
          <w:sz w:val="22"/>
          <w:szCs w:val="22"/>
          <w:lang w:val="hr-HR"/>
        </w:rPr>
        <w:t xml:space="preserve"> 23.08.2023. godine</w:t>
      </w:r>
    </w:p>
    <w:p>
      <w:pPr>
        <w:pStyle w:val="Normal"/>
        <w:bidi w:val="0"/>
        <w:jc w:val="both"/>
        <w:rPr>
          <w:rFonts w:eastAsia="Calibri" w:cs="Times New Roman"/>
          <w:sz w:val="22"/>
          <w:szCs w:val="22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</w:r>
    </w:p>
    <w:p>
      <w:pPr>
        <w:pStyle w:val="Normal"/>
        <w:bidi w:val="0"/>
        <w:ind w:firstLine="720"/>
        <w:jc w:val="both"/>
        <w:rPr>
          <w:sz w:val="22"/>
          <w:szCs w:val="22"/>
        </w:rPr>
      </w:pPr>
      <w:r>
        <w:rPr>
          <w:rFonts w:eastAsia="Calibri" w:cs="Times New Roman"/>
          <w:sz w:val="22"/>
          <w:szCs w:val="22"/>
          <w:lang w:val="hr-HR"/>
        </w:rPr>
        <w:t xml:space="preserve">Na temelju </w:t>
      </w:r>
      <w:r>
        <w:rPr>
          <w:rFonts w:eastAsia="Andale Sans UI" w:cs="Times New Roman"/>
          <w:kern w:val="2"/>
          <w:sz w:val="22"/>
          <w:szCs w:val="22"/>
          <w:lang w:val="hr-HR" w:eastAsia="zh-CN"/>
        </w:rPr>
        <w:t xml:space="preserve">članka. 1. i članka 9a. Zakona o financiranju javnih potreba u kulturi („Narodne novine” broj 47/90, 27/93 i 38/09) te </w:t>
      </w:r>
      <w:r>
        <w:rPr>
          <w:rFonts w:eastAsia="Calibri" w:cs="Times New Roman"/>
          <w:sz w:val="22"/>
          <w:szCs w:val="22"/>
          <w:lang w:val="hr-HR"/>
        </w:rPr>
        <w:t>članka 19., stavka 1., točke 2. Statuta Općine Negoslavci („Službeni glasnik Općine Negoslavci” broj 1/21), Općinsko vijeće Općine Negoslavci na svojoj redovnoj sjednici održanoj dana 23.08.2023. godine donosi</w:t>
      </w:r>
    </w:p>
    <w:p>
      <w:pPr>
        <w:pStyle w:val="Normal"/>
        <w:widowControl w:val="false"/>
        <w:suppressAutoHyphens w:val="true"/>
        <w:bidi w:val="0"/>
        <w:ind w:right="-285" w:hanging="0"/>
        <w:jc w:val="left"/>
        <w:rPr>
          <w:rFonts w:eastAsia="Andale Sans UI" w:cs="Times New Roman"/>
          <w:kern w:val="2"/>
          <w:sz w:val="22"/>
          <w:szCs w:val="22"/>
          <w:lang w:val="hr-HR" w:eastAsia="zh-CN"/>
        </w:rPr>
      </w:pPr>
      <w:r>
        <w:rPr>
          <w:rFonts w:eastAsia="Andale Sans UI" w:cs="Times New Roman"/>
          <w:kern w:val="2"/>
          <w:sz w:val="22"/>
          <w:szCs w:val="22"/>
          <w:lang w:val="hr-HR" w:eastAsia="zh-CN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sz w:val="22"/>
          <w:szCs w:val="22"/>
        </w:rPr>
      </w:pPr>
      <w:r>
        <w:rPr>
          <w:rFonts w:eastAsia="Andale Sans UI" w:cs="Times New Roman"/>
          <w:b/>
          <w:kern w:val="2"/>
          <w:sz w:val="22"/>
          <w:szCs w:val="22"/>
          <w:lang w:val="hr-HR" w:eastAsia="zh-CN"/>
        </w:rPr>
        <w:t xml:space="preserve">Izmjene i dopune </w:t>
      </w:r>
      <w:bookmarkStart w:id="0" w:name="_GoBack"/>
      <w:bookmarkStart w:id="1" w:name="_Toc62727865"/>
      <w:r>
        <w:rPr>
          <w:rFonts w:eastAsia="Andale Sans UI" w:cs="Times New Roman"/>
          <w:b/>
          <w:kern w:val="2"/>
          <w:sz w:val="22"/>
          <w:szCs w:val="22"/>
          <w:lang w:val="hr-HR" w:eastAsia="zh-CN"/>
        </w:rPr>
        <w:t>Program javnih potreba u kulturi na području Općine Negoslavci za 2023. god</w:t>
      </w:r>
      <w:bookmarkEnd w:id="0"/>
      <w:bookmarkEnd w:id="1"/>
      <w:r>
        <w:rPr>
          <w:rFonts w:eastAsia="Andale Sans UI" w:cs="Times New Roman"/>
          <w:b/>
          <w:kern w:val="2"/>
          <w:sz w:val="22"/>
          <w:szCs w:val="22"/>
          <w:lang w:val="hr-HR" w:eastAsia="zh-CN"/>
        </w:rPr>
        <w:t>inu</w:t>
      </w:r>
    </w:p>
    <w:p>
      <w:pPr>
        <w:pStyle w:val="Normal"/>
        <w:widowControl w:val="false"/>
        <w:suppressAutoHyphens w:val="true"/>
        <w:bidi w:val="0"/>
        <w:ind w:right="-285" w:hanging="0"/>
        <w:jc w:val="left"/>
        <w:rPr>
          <w:sz w:val="22"/>
          <w:szCs w:val="22"/>
        </w:rPr>
      </w:pPr>
      <w:r>
        <w:rPr>
          <w:rFonts w:eastAsia="Times New Roman" w:cs="Times New Roman"/>
          <w:kern w:val="2"/>
          <w:sz w:val="22"/>
          <w:szCs w:val="22"/>
          <w:lang w:val="hr-HR" w:eastAsia="zh-CN"/>
        </w:rPr>
        <w:t xml:space="preserve"> </w:t>
      </w:r>
    </w:p>
    <w:p>
      <w:pPr>
        <w:pStyle w:val="Normal"/>
        <w:widowControl w:val="false"/>
        <w:suppressAutoHyphens w:val="true"/>
        <w:bidi w:val="0"/>
        <w:ind w:right="-285" w:hanging="0"/>
        <w:jc w:val="center"/>
        <w:rPr>
          <w:sz w:val="22"/>
          <w:szCs w:val="22"/>
        </w:rPr>
      </w:pPr>
      <w:r>
        <w:rPr>
          <w:rFonts w:eastAsia="Andale Sans UI" w:cs="Times New Roman"/>
          <w:b/>
          <w:bCs/>
          <w:kern w:val="2"/>
          <w:sz w:val="22"/>
          <w:szCs w:val="22"/>
          <w:lang w:val="hr-HR" w:eastAsia="zh-CN"/>
        </w:rPr>
        <w:t>I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kern w:val="2"/>
          <w:sz w:val="22"/>
          <w:szCs w:val="22"/>
          <w:lang w:val="hr-HR" w:eastAsia="zh-CN"/>
        </w:rPr>
        <w:tab/>
        <w:t xml:space="preserve">U Programu javnih potreba u kulturi na području Općine Negoslavci za 2023. godinu („Službeni glasnik Općine Negoslavci” broj 8/22) (u daljem tekstu: Program), točka II mijenja se i glasi: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Andale Sans UI" w:cs="Times New Roman"/>
          <w:kern w:val="2"/>
          <w:sz w:val="22"/>
          <w:szCs w:val="22"/>
          <w:lang w:val="hr-HR" w:eastAsia="zh-CN"/>
        </w:rPr>
        <w:t>„</w:t>
      </w:r>
      <w:r>
        <w:rPr>
          <w:rFonts w:eastAsia="Andale Sans UI" w:cs="Times New Roman"/>
          <w:kern w:val="2"/>
          <w:sz w:val="22"/>
          <w:szCs w:val="22"/>
          <w:lang w:val="hr-HR" w:eastAsia="zh-CN"/>
        </w:rPr>
        <w:t>Javne potrebe u kulturi od značaja za Općinu Negoslavci, u svrhu poticanja kulturnih vrijednosti ostvarivati će se kroz:</w:t>
      </w:r>
    </w:p>
    <w:p>
      <w:pPr>
        <w:pStyle w:val="Normal"/>
        <w:widowControl w:val="false"/>
        <w:suppressAutoHyphens w:val="true"/>
        <w:bidi w:val="0"/>
        <w:ind w:right="-285" w:hanging="0"/>
        <w:jc w:val="both"/>
        <w:rPr>
          <w:sz w:val="22"/>
          <w:szCs w:val="22"/>
        </w:rPr>
      </w:pPr>
      <w:r>
        <w:rPr>
          <w:rFonts w:eastAsia="Andale Sans UI" w:cs="Times New Roman"/>
          <w:kern w:val="2"/>
          <w:sz w:val="22"/>
          <w:szCs w:val="22"/>
          <w:lang w:val="hr-HR" w:eastAsia="zh-CN"/>
        </w:rPr>
        <w:t>-</w:t>
        <w:tab/>
        <w:t>djelatnosti i poslove udruga u kulturi, kao pomaganje i poticanje umjetničkog i kulturnog stvaralaštva kroz plesno-scensku i druge vidove izražavanja umjetničkog amaterizma,</w:t>
      </w:r>
    </w:p>
    <w:p>
      <w:pPr>
        <w:pStyle w:val="Normal"/>
        <w:widowControl w:val="false"/>
        <w:suppressAutoHyphens w:val="true"/>
        <w:bidi w:val="0"/>
        <w:ind w:right="-285" w:hanging="0"/>
        <w:jc w:val="both"/>
        <w:rPr>
          <w:sz w:val="22"/>
          <w:szCs w:val="22"/>
        </w:rPr>
      </w:pPr>
      <w:r>
        <w:rPr>
          <w:rFonts w:eastAsia="Andale Sans UI" w:cs="Times New Roman"/>
          <w:kern w:val="2"/>
          <w:sz w:val="22"/>
          <w:szCs w:val="22"/>
          <w:lang w:val="hr-HR" w:eastAsia="zh-CN"/>
        </w:rPr>
        <w:t>-</w:t>
        <w:tab/>
        <w:t>aktivnosti i manifestacije u kulturi koje pridonose razvitku i promicanju kulturnog života i amaterizma u kulturi, te očuvanju i njegovanju običaja i tradicije i</w:t>
      </w:r>
    </w:p>
    <w:p>
      <w:pPr>
        <w:pStyle w:val="Normal"/>
        <w:widowControl w:val="false"/>
        <w:suppressAutoHyphens w:val="true"/>
        <w:bidi w:val="0"/>
        <w:ind w:right="-285" w:hanging="0"/>
        <w:jc w:val="both"/>
        <w:rPr>
          <w:sz w:val="22"/>
          <w:szCs w:val="22"/>
        </w:rPr>
      </w:pPr>
      <w:r>
        <w:rPr>
          <w:rFonts w:eastAsia="Andale Sans UI" w:cs="Times New Roman"/>
          <w:kern w:val="2"/>
          <w:sz w:val="22"/>
          <w:szCs w:val="22"/>
          <w:lang w:val="hr-HR" w:eastAsia="zh-CN"/>
        </w:rPr>
        <w:t xml:space="preserve">- </w:t>
        <w:tab/>
      </w:r>
      <w:r>
        <w:rPr>
          <w:rFonts w:eastAsia="Andale Sans UI" w:cs="Times New Roman"/>
          <w:color w:val="000000"/>
          <w:kern w:val="2"/>
          <w:sz w:val="22"/>
          <w:szCs w:val="22"/>
          <w:lang w:val="hr-HR" w:eastAsia="zh-CN"/>
        </w:rPr>
        <w:t>renoviranje etno kuće i uspostavljanje doma kulture na području Općine Negoslavci.</w:t>
      </w:r>
    </w:p>
    <w:p>
      <w:pPr>
        <w:pStyle w:val="Normal"/>
        <w:widowControl w:val="false"/>
        <w:suppressAutoHyphens w:val="true"/>
        <w:bidi w:val="0"/>
        <w:ind w:right="-285" w:firstLine="708"/>
        <w:jc w:val="both"/>
        <w:rPr>
          <w:sz w:val="22"/>
          <w:szCs w:val="22"/>
        </w:rPr>
      </w:pPr>
      <w:r>
        <w:rPr>
          <w:rFonts w:eastAsia="Andale Sans UI" w:cs="Times New Roman"/>
          <w:kern w:val="2"/>
          <w:sz w:val="22"/>
          <w:szCs w:val="22"/>
          <w:lang w:val="hr-HR" w:eastAsia="zh-CN"/>
        </w:rPr>
        <w:t>U okviru sredstava za provedbu ovog Programa dopuštena je preraspodjela utvrđenih sredstava između pojedinih rashoda uz prethodno odobrenje Općinskog načelnika.”</w:t>
      </w:r>
    </w:p>
    <w:p>
      <w:pPr>
        <w:pStyle w:val="Normal"/>
        <w:widowControl w:val="false"/>
        <w:suppressAutoHyphens w:val="true"/>
        <w:bidi w:val="0"/>
        <w:ind w:right="-285" w:firstLine="708"/>
        <w:jc w:val="both"/>
        <w:rPr>
          <w:rFonts w:eastAsia="Andale Sans UI" w:cs="Times New Roman"/>
          <w:kern w:val="2"/>
          <w:sz w:val="22"/>
          <w:szCs w:val="22"/>
          <w:lang w:val="hr-HR" w:eastAsia="zh-CN"/>
        </w:rPr>
      </w:pPr>
      <w:r>
        <w:rPr>
          <w:rFonts w:eastAsia="Andale Sans UI" w:cs="Times New Roman"/>
          <w:kern w:val="2"/>
          <w:sz w:val="22"/>
          <w:szCs w:val="22"/>
          <w:lang w:val="hr-HR" w:eastAsia="zh-CN"/>
        </w:rPr>
      </w:r>
    </w:p>
    <w:p>
      <w:pPr>
        <w:pStyle w:val="Normal"/>
        <w:widowControl w:val="false"/>
        <w:suppressAutoHyphens w:val="true"/>
        <w:bidi w:val="0"/>
        <w:ind w:right="-285" w:hanging="0"/>
        <w:jc w:val="center"/>
        <w:rPr>
          <w:rFonts w:eastAsia="Andale Sans UI" w:cs="Times New Roman"/>
          <w:b/>
          <w:b/>
          <w:bCs/>
          <w:kern w:val="2"/>
          <w:sz w:val="22"/>
          <w:szCs w:val="22"/>
          <w:lang w:val="hr-HR" w:eastAsia="zh-CN"/>
        </w:rPr>
      </w:pPr>
      <w:r>
        <w:rPr>
          <w:rFonts w:eastAsia="Andale Sans UI" w:cs="Times New Roman"/>
          <w:b/>
          <w:bCs/>
          <w:kern w:val="2"/>
          <w:sz w:val="22"/>
          <w:szCs w:val="22"/>
          <w:lang w:val="hr-HR" w:eastAsia="zh-CN"/>
        </w:rPr>
        <w:t>II</w:t>
      </w:r>
    </w:p>
    <w:p>
      <w:pPr>
        <w:pStyle w:val="Normal"/>
        <w:widowControl w:val="false"/>
        <w:suppressAutoHyphens w:val="true"/>
        <w:bidi w:val="0"/>
        <w:ind w:right="-285" w:firstLine="708"/>
        <w:jc w:val="both"/>
        <w:rPr>
          <w:sz w:val="22"/>
          <w:szCs w:val="22"/>
        </w:rPr>
      </w:pPr>
      <w:r>
        <w:rPr>
          <w:rFonts w:eastAsia="Andale Sans UI" w:cs="Times New Roman"/>
          <w:kern w:val="2"/>
          <w:sz w:val="22"/>
          <w:szCs w:val="22"/>
          <w:lang w:val="hr-HR" w:eastAsia="zh-CN"/>
        </w:rPr>
        <w:t xml:space="preserve">Mijenja se točka IV Programa i glasi: </w:t>
      </w:r>
    </w:p>
    <w:p>
      <w:pPr>
        <w:pStyle w:val="Normal"/>
        <w:widowControl w:val="false"/>
        <w:suppressAutoHyphens w:val="true"/>
        <w:bidi w:val="0"/>
        <w:ind w:right="-285" w:firstLine="708"/>
        <w:jc w:val="both"/>
        <w:rPr>
          <w:sz w:val="22"/>
          <w:szCs w:val="22"/>
        </w:rPr>
      </w:pPr>
      <w:r>
        <w:rPr>
          <w:rFonts w:eastAsia="Andale Sans UI" w:cs="Times New Roman"/>
          <w:kern w:val="2"/>
          <w:sz w:val="22"/>
          <w:szCs w:val="22"/>
          <w:lang w:val="hr-HR" w:eastAsia="zh-CN"/>
        </w:rPr>
        <w:t>„</w:t>
      </w:r>
      <w:r>
        <w:rPr>
          <w:rFonts w:eastAsia="Andale Sans UI" w:cs="Times New Roman"/>
          <w:kern w:val="2"/>
          <w:sz w:val="22"/>
          <w:szCs w:val="22"/>
          <w:lang w:val="hr-HR" w:eastAsia="zh-CN"/>
        </w:rPr>
        <w:t>Za provođenje Programa osigurat će se sredstva u proračunu Općine Negoslavci kako slijedi (po fiksnoj tečaju konverzije 1,00 EUR=7,53450 KN):</w:t>
      </w:r>
    </w:p>
    <w:tbl>
      <w:tblPr>
        <w:tblW w:w="9368" w:type="dxa"/>
        <w:jc w:val="left"/>
        <w:tblInd w:w="-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37"/>
        <w:gridCol w:w="2030"/>
      </w:tblGrid>
      <w:tr>
        <w:trPr/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285" w:hanging="0"/>
              <w:jc w:val="left"/>
              <w:rPr>
                <w:sz w:val="22"/>
                <w:szCs w:val="22"/>
              </w:rPr>
            </w:pPr>
            <w:r>
              <w:rPr>
                <w:rFonts w:eastAsia="Andale Sans UI" w:cs="Times New Roman"/>
                <w:kern w:val="2"/>
                <w:sz w:val="22"/>
                <w:szCs w:val="22"/>
                <w:lang w:val="hr-HR" w:eastAsia="zh-CN"/>
              </w:rPr>
              <w:t>Sredstva predviđena za programe i projekte u kulturi za kulturna udruženja</w:t>
              <w:tab/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right"/>
              <w:rPr>
                <w:sz w:val="22"/>
                <w:szCs w:val="22"/>
              </w:rPr>
            </w:pPr>
            <w:r>
              <w:rPr>
                <w:rFonts w:eastAsia="Andale Sans UI" w:cs="Times New Roman"/>
                <w:kern w:val="2"/>
                <w:sz w:val="22"/>
                <w:szCs w:val="22"/>
                <w:lang w:val="hr-HR" w:eastAsia="zh-CN"/>
              </w:rPr>
              <w:t xml:space="preserve">40.000,00 KN/5.308,91 EUR </w:t>
            </w:r>
          </w:p>
        </w:tc>
      </w:tr>
      <w:tr>
        <w:trPr/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285" w:hanging="0"/>
              <w:jc w:val="left"/>
              <w:rPr>
                <w:sz w:val="22"/>
                <w:szCs w:val="22"/>
              </w:rPr>
            </w:pPr>
            <w:r>
              <w:rPr>
                <w:rFonts w:eastAsia="Andale Sans UI" w:cs="Times New Roman"/>
                <w:kern w:val="2"/>
                <w:sz w:val="22"/>
                <w:szCs w:val="22"/>
                <w:lang w:val="hr-HR" w:eastAsia="zh-CN"/>
              </w:rPr>
              <w:t>Sredstva predviđena za aktivnosti i manifestacije u kulturi za kulturna udruženja i projekte po posebnim propisima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right"/>
              <w:rPr>
                <w:sz w:val="22"/>
                <w:szCs w:val="22"/>
              </w:rPr>
            </w:pPr>
            <w:r>
              <w:rPr>
                <w:rFonts w:eastAsia="Andale Sans UI" w:cs="Times New Roman"/>
                <w:kern w:val="2"/>
                <w:sz w:val="22"/>
                <w:szCs w:val="22"/>
                <w:lang w:val="hr-HR" w:eastAsia="zh-CN"/>
              </w:rPr>
              <w:t>15.000,00 KN/1.990,84 EUR</w:t>
            </w:r>
          </w:p>
        </w:tc>
      </w:tr>
      <w:tr>
        <w:trPr/>
        <w:tc>
          <w:tcPr>
            <w:tcW w:w="73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285" w:hanging="0"/>
              <w:jc w:val="left"/>
              <w:rPr>
                <w:sz w:val="22"/>
                <w:szCs w:val="22"/>
              </w:rPr>
            </w:pPr>
            <w:r>
              <w:rPr>
                <w:rFonts w:eastAsia="Andale Sans UI" w:cs="Times New Roman"/>
                <w:color w:val="000000"/>
                <w:kern w:val="2"/>
                <w:sz w:val="22"/>
                <w:szCs w:val="22"/>
                <w:lang w:val="hr-HR" w:eastAsia="zh-CN"/>
              </w:rPr>
              <w:t xml:space="preserve">Renoviranje etno kuće – Dom kulture 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right"/>
              <w:rPr>
                <w:sz w:val="22"/>
                <w:szCs w:val="22"/>
              </w:rPr>
            </w:pPr>
            <w:r>
              <w:rPr>
                <w:rFonts w:eastAsia="Andale Sans UI" w:cs="Times New Roman"/>
                <w:color w:val="000000"/>
                <w:kern w:val="2"/>
                <w:sz w:val="22"/>
                <w:szCs w:val="22"/>
                <w:lang w:val="hr-HR" w:eastAsia="zh-CN"/>
              </w:rPr>
              <w:t>565.087,50 KN/</w:t>
            </w:r>
          </w:p>
          <w:p>
            <w:pPr>
              <w:pStyle w:val="Normal"/>
              <w:widowControl w:val="false"/>
              <w:suppressAutoHyphens w:val="true"/>
              <w:bidi w:val="0"/>
              <w:jc w:val="right"/>
              <w:rPr>
                <w:sz w:val="22"/>
                <w:szCs w:val="22"/>
              </w:rPr>
            </w:pPr>
            <w:r>
              <w:rPr>
                <w:rFonts w:eastAsia="Andale Sans UI" w:cs="Times New Roman"/>
                <w:color w:val="000000"/>
                <w:kern w:val="2"/>
                <w:sz w:val="22"/>
                <w:szCs w:val="22"/>
                <w:lang w:val="hr-HR" w:eastAsia="zh-CN"/>
              </w:rPr>
              <w:t>75.000,00 EUR</w:t>
            </w:r>
          </w:p>
        </w:tc>
      </w:tr>
      <w:tr>
        <w:trPr>
          <w:trHeight w:val="102" w:hRule="atLeast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285" w:hanging="0"/>
              <w:jc w:val="left"/>
              <w:rPr>
                <w:sz w:val="22"/>
                <w:szCs w:val="22"/>
              </w:rPr>
            </w:pPr>
            <w:r>
              <w:rPr>
                <w:rFonts w:eastAsia="Andale Sans UI" w:cs="Times New Roman"/>
                <w:b/>
                <w:bCs/>
                <w:kern w:val="2"/>
                <w:sz w:val="22"/>
                <w:szCs w:val="22"/>
                <w:lang w:val="hr-HR" w:eastAsia="zh-CN"/>
              </w:rPr>
              <w:t>Ukupno program - Program javnih potreba u kulturi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right"/>
              <w:rPr>
                <w:sz w:val="22"/>
                <w:szCs w:val="22"/>
              </w:rPr>
            </w:pPr>
            <w:r>
              <w:rPr>
                <w:rFonts w:eastAsia="Andale Sans UI" w:cs="Times New Roman"/>
                <w:b/>
                <w:bCs/>
                <w:kern w:val="2"/>
                <w:sz w:val="22"/>
                <w:szCs w:val="22"/>
                <w:lang w:val="hr-HR" w:eastAsia="zh-CN"/>
              </w:rPr>
              <w:t>620.087,50 KN/</w:t>
            </w:r>
          </w:p>
          <w:p>
            <w:pPr>
              <w:pStyle w:val="Normal"/>
              <w:widowControl w:val="false"/>
              <w:suppressAutoHyphens w:val="true"/>
              <w:bidi w:val="0"/>
              <w:jc w:val="right"/>
              <w:rPr>
                <w:sz w:val="22"/>
                <w:szCs w:val="22"/>
              </w:rPr>
            </w:pPr>
            <w:r>
              <w:rPr>
                <w:rFonts w:eastAsia="Andale Sans UI" w:cs="Times New Roman"/>
                <w:b/>
                <w:bCs/>
                <w:kern w:val="2"/>
                <w:sz w:val="22"/>
                <w:szCs w:val="22"/>
                <w:lang w:val="hr-HR" w:eastAsia="zh-CN"/>
              </w:rPr>
              <w:t>82.299,75 EUR</w:t>
            </w:r>
          </w:p>
        </w:tc>
      </w:tr>
    </w:tbl>
    <w:p>
      <w:pPr>
        <w:pStyle w:val="Normal"/>
        <w:widowControl w:val="false"/>
        <w:suppressAutoHyphens w:val="true"/>
        <w:bidi w:val="0"/>
        <w:ind w:right="-285" w:hanging="0"/>
        <w:jc w:val="left"/>
        <w:rPr>
          <w:sz w:val="22"/>
          <w:szCs w:val="22"/>
        </w:rPr>
      </w:pPr>
      <w:r>
        <w:rPr>
          <w:rFonts w:eastAsia="Andale Sans UI" w:cs="Times New Roman"/>
          <w:b w:val="false"/>
          <w:bCs w:val="false"/>
          <w:kern w:val="2"/>
          <w:sz w:val="22"/>
          <w:szCs w:val="22"/>
          <w:lang w:val="hr-HR" w:eastAsia="zh-CN"/>
        </w:rPr>
        <w:t>„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val="en-AU" w:eastAsia="hr-HR"/>
        </w:rPr>
        <w:t>III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val="en-AU" w:eastAsia="hr-HR"/>
        </w:rPr>
        <w:tab/>
      </w:r>
      <w:r>
        <w:rPr>
          <w:rFonts w:eastAsia="Times New Roman" w:cs="Times New Roman"/>
          <w:b w:val="false"/>
          <w:bCs w:val="false"/>
          <w:sz w:val="22"/>
          <w:szCs w:val="22"/>
          <w:lang w:val="en-AU" w:eastAsia="hr-HR"/>
        </w:rPr>
        <w:t>Ostale odredbe Programa se ne mijenjaju, niti se dopunjavaju.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rFonts w:eastAsia="Times New Roman" w:cs="Times New Roman"/>
          <w:b/>
          <w:bCs/>
          <w:i w:val="false"/>
          <w:iCs w:val="false"/>
          <w:sz w:val="22"/>
          <w:szCs w:val="22"/>
          <w:lang w:val="en-AU" w:eastAsia="hr-HR"/>
        </w:rPr>
        <w:t>IV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/>
          <w:sz w:val="22"/>
          <w:szCs w:val="22"/>
          <w:lang w:val="en-AU" w:eastAsia="hr-HR"/>
        </w:rPr>
        <w:tab/>
        <w:t>Izmjene i dopune Programa javnih potreba u kulturi na području Općine Negoslavci za 2023. godinu stupaju na snagu dan nakon dana objave u Službenom glasniku Općine Negoslavci.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before="0" w:after="0"/>
        <w:contextualSpacing/>
        <w:jc w:val="right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ZAMJENIK PREDSJEDNIKA OPĆINSKOG VIJEĆA</w:t>
      </w:r>
    </w:p>
    <w:p>
      <w:pPr>
        <w:pStyle w:val="Normal"/>
        <w:bidi w:val="0"/>
        <w:spacing w:before="0" w:after="0"/>
        <w:contextualSpacing/>
        <w:jc w:val="right"/>
        <w:rPr>
          <w:sz w:val="22"/>
          <w:szCs w:val="22"/>
        </w:rPr>
      </w:pPr>
      <w:bookmarkStart w:id="2" w:name="_GoBack1"/>
      <w:bookmarkEnd w:id="2"/>
      <w:r>
        <w:rPr>
          <w:b w:val="false"/>
          <w:bCs w:val="false"/>
          <w:sz w:val="22"/>
          <w:szCs w:val="22"/>
        </w:rPr>
        <w:t>Branko Abadžić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/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bidi w:val="0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</TotalTime>
  <Application>LibreOffice/7.4.1.2$Windows_X86_64 LibreOffice_project/3c58a8f3a960df8bc8fd77b461821e42c061c5f0</Application>
  <AppVersion>15.0000</AppVersion>
  <Pages>1</Pages>
  <Words>335</Words>
  <Characters>2032</Characters>
  <CharactersWithSpaces>2344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2022-12-29T11:45:20Z</dcterms:created>
  <dc:creator/>
  <dc:description/>
  <dc:language>hr-HR</dc:language>
  <cp:lastModifiedBy/>
  <dcterms:modified xsi:type="dcterms:W3CDTF">2023-09-11T14:53:03Z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