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5CD1" w14:textId="77777777" w:rsidR="000759BA" w:rsidRDefault="00000000">
      <w:r>
        <w:rPr>
          <w:b/>
          <w:bCs/>
        </w:rPr>
        <w:tab/>
      </w:r>
      <w:r>
        <w:rPr>
          <w:b/>
          <w:bCs/>
        </w:rPr>
        <w:tab/>
      </w:r>
    </w:p>
    <w:p w14:paraId="3BF3AE9F" w14:textId="77777777" w:rsidR="000759BA" w:rsidRDefault="00000000">
      <w:pPr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0" allowOverlap="1" wp14:anchorId="741F2DDC" wp14:editId="6B2F4B81">
            <wp:simplePos x="0" y="0"/>
            <wp:positionH relativeFrom="column">
              <wp:posOffset>1073785</wp:posOffset>
            </wp:positionH>
            <wp:positionV relativeFrom="paragraph">
              <wp:posOffset>58420</wp:posOffset>
            </wp:positionV>
            <wp:extent cx="476250" cy="60007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ECFF9" w14:textId="77777777" w:rsidR="000759BA" w:rsidRDefault="000759BA">
      <w:pPr>
        <w:rPr>
          <w:b/>
          <w:bCs/>
        </w:rPr>
      </w:pPr>
    </w:p>
    <w:p w14:paraId="31FD3E80" w14:textId="77777777" w:rsidR="000759BA" w:rsidRDefault="000759BA">
      <w:pPr>
        <w:rPr>
          <w:b/>
          <w:bCs/>
        </w:rPr>
      </w:pPr>
    </w:p>
    <w:p w14:paraId="5B53936F" w14:textId="77777777" w:rsidR="000759BA" w:rsidRDefault="000759BA">
      <w:pPr>
        <w:rPr>
          <w:b/>
          <w:bCs/>
        </w:rPr>
      </w:pPr>
    </w:p>
    <w:p w14:paraId="304BE87C" w14:textId="77777777" w:rsidR="000759BA" w:rsidRDefault="00000000">
      <w:r>
        <w:rPr>
          <w:b/>
          <w:bCs/>
        </w:rPr>
        <w:tab/>
        <w:t>REPUBLIKA HRVATSKA</w:t>
      </w:r>
    </w:p>
    <w:p w14:paraId="6B22AABF" w14:textId="77777777" w:rsidR="000759BA" w:rsidRDefault="00000000">
      <w:r>
        <w:rPr>
          <w:b/>
          <w:bCs/>
        </w:rPr>
        <w:t>VUKOVARSKO-SRIJEMSKA ŽUPANIJA</w:t>
      </w:r>
    </w:p>
    <w:p w14:paraId="2BFD4917" w14:textId="77777777" w:rsidR="000759BA" w:rsidRDefault="00000000">
      <w:pPr>
        <w:rPr>
          <w:b/>
          <w:bCs/>
        </w:rPr>
      </w:pPr>
      <w:r>
        <w:rPr>
          <w:b/>
          <w:bCs/>
        </w:rPr>
        <w:t>OPĆINA NEGOSLAVCI</w:t>
      </w:r>
    </w:p>
    <w:p w14:paraId="2EE9B9D1" w14:textId="77777777" w:rsidR="000759BA" w:rsidRDefault="00000000">
      <w:pPr>
        <w:rPr>
          <w:b/>
          <w:bCs/>
        </w:rPr>
      </w:pPr>
      <w:r>
        <w:rPr>
          <w:b/>
          <w:bCs/>
        </w:rPr>
        <w:t>Općinski načelnik</w:t>
      </w:r>
    </w:p>
    <w:p w14:paraId="5707D65E" w14:textId="77777777" w:rsidR="005304D0" w:rsidRDefault="00000000">
      <w:pPr>
        <w:rPr>
          <w:bCs/>
        </w:rPr>
      </w:pPr>
      <w:r>
        <w:rPr>
          <w:b/>
        </w:rPr>
        <w:t>KLASA:</w:t>
      </w:r>
      <w:r>
        <w:t xml:space="preserve"> </w:t>
      </w:r>
      <w:r w:rsidR="005304D0">
        <w:rPr>
          <w:bCs/>
        </w:rPr>
        <w:t>024-03/22-01/01</w:t>
      </w:r>
    </w:p>
    <w:p w14:paraId="7358A93E" w14:textId="7AEE2DF1" w:rsidR="000759BA" w:rsidRPr="005304D0" w:rsidRDefault="00000000">
      <w:r>
        <w:rPr>
          <w:b/>
        </w:rPr>
        <w:t>URBROJ:</w:t>
      </w:r>
      <w:r>
        <w:t xml:space="preserve"> </w:t>
      </w:r>
      <w:r>
        <w:rPr>
          <w:bCs/>
        </w:rPr>
        <w:t>2196-19-01-</w:t>
      </w:r>
      <w:r w:rsidR="00634003">
        <w:rPr>
          <w:bCs/>
        </w:rPr>
        <w:t>23</w:t>
      </w:r>
      <w:r>
        <w:rPr>
          <w:bCs/>
        </w:rPr>
        <w:t>-</w:t>
      </w:r>
      <w:r w:rsidR="005304D0" w:rsidRPr="005304D0">
        <w:rPr>
          <w:bCs/>
        </w:rPr>
        <w:t>0</w:t>
      </w:r>
      <w:r w:rsidR="00634003">
        <w:rPr>
          <w:bCs/>
        </w:rPr>
        <w:t>6</w:t>
      </w:r>
    </w:p>
    <w:p w14:paraId="2B61A251" w14:textId="78EC2C07" w:rsidR="000759BA" w:rsidRPr="005304D0" w:rsidRDefault="00000000">
      <w:r w:rsidRPr="005304D0">
        <w:rPr>
          <w:b/>
        </w:rPr>
        <w:t>Negoslavci,</w:t>
      </w:r>
      <w:r w:rsidRPr="005304D0">
        <w:t xml:space="preserve"> </w:t>
      </w:r>
      <w:r w:rsidR="007A111B">
        <w:t>19</w:t>
      </w:r>
      <w:r w:rsidRPr="005304D0">
        <w:t>.</w:t>
      </w:r>
      <w:r w:rsidR="007A111B">
        <w:t>09</w:t>
      </w:r>
      <w:r w:rsidRPr="005304D0">
        <w:t>.202</w:t>
      </w:r>
      <w:r w:rsidR="007A111B">
        <w:t>3</w:t>
      </w:r>
      <w:r w:rsidRPr="005304D0">
        <w:t>. godine</w:t>
      </w:r>
    </w:p>
    <w:p w14:paraId="5B9CBB64" w14:textId="77777777" w:rsidR="000759BA" w:rsidRDefault="000759BA"/>
    <w:p w14:paraId="26CDCD7C" w14:textId="0CDBB65B" w:rsidR="000759BA" w:rsidRDefault="00000000">
      <w:pPr>
        <w:jc w:val="both"/>
        <w:rPr>
          <w:lang w:eastAsia="hr-HR"/>
        </w:rPr>
      </w:pPr>
      <w:r>
        <w:rPr>
          <w:lang w:eastAsia="hr-HR"/>
        </w:rPr>
        <w:tab/>
        <w:t xml:space="preserve">Na temelju članka 4. stavka 3. Zakona o službenicima i namještenicima u lokalnoj i područnoj (regionalnoj) samoupravi („Narodne novine“, broj 86/08, 61/11, 4/18 i 112/19), članka </w:t>
      </w:r>
      <w:r w:rsidR="00C23D17">
        <w:rPr>
          <w:lang w:eastAsia="hr-HR"/>
        </w:rPr>
        <w:t>32</w:t>
      </w:r>
      <w:r>
        <w:rPr>
          <w:lang w:eastAsia="hr-HR"/>
        </w:rPr>
        <w:t>. Uredbe o klasifikaciji radnih mjesta u lokalnoj i područnoj (regionalnoj) samoupravi („Narodne novine“ broj 74/10</w:t>
      </w:r>
      <w:r w:rsidR="004070F3">
        <w:rPr>
          <w:lang w:eastAsia="hr-HR"/>
        </w:rPr>
        <w:t xml:space="preserve">, </w:t>
      </w:r>
      <w:r>
        <w:rPr>
          <w:lang w:eastAsia="hr-HR"/>
        </w:rPr>
        <w:t>125/14</w:t>
      </w:r>
      <w:r w:rsidR="004070F3">
        <w:rPr>
          <w:lang w:eastAsia="hr-HR"/>
        </w:rPr>
        <w:t>, 48/23</w:t>
      </w:r>
      <w:r>
        <w:rPr>
          <w:lang w:eastAsia="hr-HR"/>
        </w:rPr>
        <w:t xml:space="preserve">), članka 32., stavka 2., točke 2. Statuta Općine Negoslavci („Službeni glasnik Općine Negoslavci” broj 01/21) i prijedloga Pročelnika Jedinstvenog upravnog odjela </w:t>
      </w:r>
      <w:r w:rsidR="004070F3">
        <w:rPr>
          <w:lang w:eastAsia="hr-HR"/>
        </w:rPr>
        <w:t>(</w:t>
      </w:r>
      <w:r>
        <w:rPr>
          <w:lang w:eastAsia="hr-HR"/>
        </w:rPr>
        <w:t xml:space="preserve">KLASA: </w:t>
      </w:r>
      <w:r w:rsidRPr="005304D0">
        <w:rPr>
          <w:lang w:eastAsia="hr-HR"/>
        </w:rPr>
        <w:t>024-03/22-01/01 URBROJ: 2196-19-03-01-</w:t>
      </w:r>
      <w:r w:rsidR="00136FFD">
        <w:rPr>
          <w:lang w:eastAsia="hr-HR"/>
        </w:rPr>
        <w:t>23</w:t>
      </w:r>
      <w:r w:rsidRPr="005304D0">
        <w:rPr>
          <w:lang w:eastAsia="hr-HR"/>
        </w:rPr>
        <w:t>-</w:t>
      </w:r>
      <w:r w:rsidR="00C23D17">
        <w:rPr>
          <w:lang w:eastAsia="hr-HR"/>
        </w:rPr>
        <w:t>05</w:t>
      </w:r>
      <w:r w:rsidRPr="005304D0">
        <w:rPr>
          <w:lang w:eastAsia="hr-HR"/>
        </w:rPr>
        <w:t xml:space="preserve">, od </w:t>
      </w:r>
      <w:r w:rsidR="00136FFD">
        <w:rPr>
          <w:lang w:eastAsia="hr-HR"/>
        </w:rPr>
        <w:t>13</w:t>
      </w:r>
      <w:r w:rsidR="005304D0" w:rsidRPr="005304D0">
        <w:rPr>
          <w:lang w:eastAsia="hr-HR"/>
        </w:rPr>
        <w:t>.</w:t>
      </w:r>
      <w:r w:rsidR="00136FFD">
        <w:rPr>
          <w:lang w:eastAsia="hr-HR"/>
        </w:rPr>
        <w:t>09</w:t>
      </w:r>
      <w:r w:rsidR="005304D0" w:rsidRPr="005304D0">
        <w:rPr>
          <w:lang w:eastAsia="hr-HR"/>
        </w:rPr>
        <w:t>.202</w:t>
      </w:r>
      <w:r w:rsidR="00136FFD">
        <w:rPr>
          <w:lang w:eastAsia="hr-HR"/>
        </w:rPr>
        <w:t>3</w:t>
      </w:r>
      <w:r w:rsidR="005304D0" w:rsidRPr="005304D0">
        <w:rPr>
          <w:lang w:eastAsia="hr-HR"/>
        </w:rPr>
        <w:t>.godine</w:t>
      </w:r>
      <w:r w:rsidRPr="005304D0">
        <w:rPr>
          <w:lang w:eastAsia="hr-HR"/>
        </w:rPr>
        <w:t xml:space="preserve">), Općinski načelnik Općine Negoslavci dana </w:t>
      </w:r>
      <w:r w:rsidR="00136FFD">
        <w:rPr>
          <w:lang w:eastAsia="hr-HR"/>
        </w:rPr>
        <w:t>19</w:t>
      </w:r>
      <w:r w:rsidRPr="005304D0">
        <w:rPr>
          <w:lang w:eastAsia="hr-HR"/>
        </w:rPr>
        <w:t>.</w:t>
      </w:r>
      <w:r w:rsidR="00136FFD">
        <w:rPr>
          <w:lang w:eastAsia="hr-HR"/>
        </w:rPr>
        <w:t>09</w:t>
      </w:r>
      <w:r w:rsidRPr="005304D0">
        <w:rPr>
          <w:lang w:eastAsia="hr-HR"/>
        </w:rPr>
        <w:t>.202</w:t>
      </w:r>
      <w:r w:rsidR="00136FFD">
        <w:rPr>
          <w:lang w:eastAsia="hr-HR"/>
        </w:rPr>
        <w:t>3</w:t>
      </w:r>
      <w:r w:rsidRPr="005304D0">
        <w:rPr>
          <w:lang w:eastAsia="hr-HR"/>
        </w:rPr>
        <w:t xml:space="preserve">. </w:t>
      </w:r>
      <w:r>
        <w:rPr>
          <w:lang w:eastAsia="hr-HR"/>
        </w:rPr>
        <w:t>godine, donosi</w:t>
      </w:r>
    </w:p>
    <w:p w14:paraId="4050E5F0" w14:textId="77777777" w:rsidR="000759BA" w:rsidRDefault="000759BA">
      <w:pPr>
        <w:rPr>
          <w:b/>
          <w:bCs/>
        </w:rPr>
      </w:pPr>
    </w:p>
    <w:p w14:paraId="7A92047F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P R A V I L N I K</w:t>
      </w:r>
    </w:p>
    <w:p w14:paraId="4EC373F2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o unutarnjem redu Jedinstvenog upravnog odjela</w:t>
      </w:r>
    </w:p>
    <w:p w14:paraId="3B43F5D6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Općine Negoslavci</w:t>
      </w:r>
    </w:p>
    <w:p w14:paraId="393AF44D" w14:textId="77777777" w:rsidR="000759BA" w:rsidRDefault="000759BA">
      <w:pPr>
        <w:jc w:val="center"/>
        <w:rPr>
          <w:b/>
          <w:bCs/>
        </w:rPr>
      </w:pPr>
    </w:p>
    <w:p w14:paraId="25BAF47B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</w:t>
      </w:r>
    </w:p>
    <w:p w14:paraId="1041E99B" w14:textId="77777777" w:rsidR="000759BA" w:rsidRDefault="00000000">
      <w:pPr>
        <w:ind w:firstLine="708"/>
        <w:jc w:val="both"/>
      </w:pPr>
      <w:r>
        <w:t>Ovim Pravilnikom o unutarnjem redu Jedinstvenog upravnog odjela Op</w:t>
      </w:r>
      <w:r>
        <w:rPr>
          <w:rFonts w:eastAsia="TimesNewRoman"/>
        </w:rPr>
        <w:t>ć</w:t>
      </w:r>
      <w:r>
        <w:t>ine Negoslavci u daljnjem tekstu: Pravilnik) uređuje se unutarnje ustrojstvo Jedinstvenog upravnog odjela, nazivi i opisi poslova radnih mjesta, stru</w:t>
      </w:r>
      <w:r>
        <w:rPr>
          <w:rFonts w:eastAsia="TimesNewRoman"/>
        </w:rPr>
        <w:t>č</w:t>
      </w:r>
      <w:r>
        <w:t>ni i drugi uvjeti za raspored na radna mjesta, broj izvršitelja na radnim mjestima i druga pitanja od zna</w:t>
      </w:r>
      <w:r>
        <w:rPr>
          <w:rFonts w:eastAsia="TimesNewRoman"/>
        </w:rPr>
        <w:t>č</w:t>
      </w:r>
      <w:r>
        <w:t>aja za rad Jedinstvenog upravnog odjela Op</w:t>
      </w:r>
      <w:r>
        <w:rPr>
          <w:rFonts w:eastAsia="TimesNewRoman"/>
        </w:rPr>
        <w:t>ć</w:t>
      </w:r>
      <w:r>
        <w:t>ine Negoslavci ( u daljnjem tekstu: Upravni odjel).</w:t>
      </w:r>
    </w:p>
    <w:p w14:paraId="4BAB8765" w14:textId="77777777" w:rsidR="000759BA" w:rsidRDefault="000759BA">
      <w:pPr>
        <w:jc w:val="both"/>
        <w:rPr>
          <w:b/>
          <w:bCs/>
        </w:rPr>
      </w:pPr>
    </w:p>
    <w:p w14:paraId="0E760E5A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2</w:t>
      </w:r>
    </w:p>
    <w:p w14:paraId="4D8F82B4" w14:textId="2FDB798C" w:rsidR="000759BA" w:rsidRDefault="00000000" w:rsidP="00BF5DF7">
      <w:pPr>
        <w:ind w:firstLine="708"/>
        <w:jc w:val="both"/>
      </w:pPr>
      <w:r>
        <w:t>Upravni odjel obavlja upravne, stru</w:t>
      </w:r>
      <w:r>
        <w:rPr>
          <w:rFonts w:eastAsia="TimesNewRoman"/>
        </w:rPr>
        <w:t>č</w:t>
      </w:r>
      <w:r>
        <w:t>ne i druge poslove odre</w:t>
      </w:r>
      <w:r>
        <w:rPr>
          <w:rFonts w:eastAsia="TimesNewRoman"/>
        </w:rPr>
        <w:t>đ</w:t>
      </w:r>
      <w:r>
        <w:t>ene zakonom, Statutom</w:t>
      </w:r>
      <w:r w:rsidR="00BF5DF7">
        <w:t xml:space="preserve"> </w:t>
      </w:r>
      <w:r>
        <w:t>Op</w:t>
      </w:r>
      <w:r>
        <w:rPr>
          <w:rFonts w:eastAsia="TimesNewRoman"/>
        </w:rPr>
        <w:t>ć</w:t>
      </w:r>
      <w:r>
        <w:t>ine, ovim Pravilnikom i drugim propisima.</w:t>
      </w:r>
    </w:p>
    <w:p w14:paraId="159623B6" w14:textId="5B3AF01C" w:rsidR="000759BA" w:rsidRDefault="00000000">
      <w:pPr>
        <w:ind w:firstLine="708"/>
        <w:jc w:val="both"/>
      </w:pPr>
      <w:r>
        <w:t>Upravni odjel je odgovoran Op</w:t>
      </w:r>
      <w:r>
        <w:rPr>
          <w:rFonts w:eastAsia="TimesNewRoman"/>
        </w:rPr>
        <w:t>ć</w:t>
      </w:r>
      <w:r>
        <w:t>inskom na</w:t>
      </w:r>
      <w:r>
        <w:rPr>
          <w:rFonts w:eastAsia="TimesNewRoman"/>
        </w:rPr>
        <w:t>č</w:t>
      </w:r>
      <w:r>
        <w:t>elniku za zakonito i pravovremeno obavljanje</w:t>
      </w:r>
      <w:r w:rsidR="00BF5DF7">
        <w:t xml:space="preserve"> </w:t>
      </w:r>
      <w:r>
        <w:t>poslova iz svog djelokruga.</w:t>
      </w:r>
    </w:p>
    <w:p w14:paraId="3BE4BB4F" w14:textId="77777777" w:rsidR="000759BA" w:rsidRDefault="00000000">
      <w:pPr>
        <w:ind w:firstLine="708"/>
        <w:jc w:val="both"/>
      </w:pPr>
      <w:r>
        <w:t>Op</w:t>
      </w:r>
      <w:r>
        <w:rPr>
          <w:rFonts w:eastAsia="TimesNewRoman"/>
        </w:rPr>
        <w:t>ć</w:t>
      </w:r>
      <w:r>
        <w:t>inski na</w:t>
      </w:r>
      <w:r>
        <w:rPr>
          <w:rFonts w:eastAsia="TimesNewRoman"/>
        </w:rPr>
        <w:t>č</w:t>
      </w:r>
      <w:r>
        <w:t>elnik uskla</w:t>
      </w:r>
      <w:r>
        <w:rPr>
          <w:rFonts w:eastAsia="TimesNewRoman"/>
        </w:rPr>
        <w:t>đ</w:t>
      </w:r>
      <w:r>
        <w:t>uje i nadzire obavljanje poslova Upravnog odjela.</w:t>
      </w:r>
    </w:p>
    <w:p w14:paraId="05809296" w14:textId="25B3F5B7" w:rsidR="000759BA" w:rsidRDefault="00000000" w:rsidP="00BF5DF7">
      <w:pPr>
        <w:ind w:firstLine="708"/>
        <w:jc w:val="both"/>
      </w:pPr>
      <w:r>
        <w:t>U obavljanju poslova iz svoje nadležnosti Upravni odjel samostalan je u granicama</w:t>
      </w:r>
      <w:r w:rsidR="00BF5DF7">
        <w:t xml:space="preserve"> </w:t>
      </w:r>
      <w:r>
        <w:t>utvr</w:t>
      </w:r>
      <w:r>
        <w:rPr>
          <w:rFonts w:eastAsia="TimesNewRoman"/>
        </w:rPr>
        <w:t>đ</w:t>
      </w:r>
      <w:r>
        <w:t>enim zakonom i op</w:t>
      </w:r>
      <w:r>
        <w:rPr>
          <w:rFonts w:eastAsia="TimesNewRoman"/>
        </w:rPr>
        <w:t>ć</w:t>
      </w:r>
      <w:r>
        <w:t>im aktima Op</w:t>
      </w:r>
      <w:r>
        <w:rPr>
          <w:rFonts w:eastAsia="TimesNewRoman"/>
        </w:rPr>
        <w:t>ć</w:t>
      </w:r>
      <w:r>
        <w:t>ine.</w:t>
      </w:r>
    </w:p>
    <w:p w14:paraId="30843B91" w14:textId="77777777" w:rsidR="000759BA" w:rsidRDefault="000759BA"/>
    <w:p w14:paraId="5BEDF08E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3.</w:t>
      </w:r>
    </w:p>
    <w:p w14:paraId="52327158" w14:textId="77777777" w:rsidR="000759BA" w:rsidRDefault="00000000">
      <w:pPr>
        <w:ind w:firstLine="708"/>
        <w:jc w:val="both"/>
      </w:pPr>
      <w:r>
        <w:t>Radom Upravnog odjela upravlja pro</w:t>
      </w:r>
      <w:r>
        <w:rPr>
          <w:rFonts w:eastAsia="TimesNewRoman"/>
        </w:rPr>
        <w:t>č</w:t>
      </w:r>
      <w:r>
        <w:t>elnik.</w:t>
      </w:r>
    </w:p>
    <w:p w14:paraId="67F329E0" w14:textId="76316A6D" w:rsidR="000759BA" w:rsidRDefault="00000000" w:rsidP="00BF5DF7">
      <w:pPr>
        <w:ind w:firstLine="708"/>
        <w:jc w:val="both"/>
      </w:pPr>
      <w:r>
        <w:t>Upravne, stru</w:t>
      </w:r>
      <w:r>
        <w:rPr>
          <w:rFonts w:eastAsia="TimesNewRoman"/>
        </w:rPr>
        <w:t>č</w:t>
      </w:r>
      <w:r>
        <w:t>ne i druge poslove i zada</w:t>
      </w:r>
      <w:r>
        <w:rPr>
          <w:rFonts w:eastAsia="TimesNewRoman"/>
        </w:rPr>
        <w:t>ć</w:t>
      </w:r>
      <w:r>
        <w:t>e u Upravnom odjelu obavljaju službenici i</w:t>
      </w:r>
      <w:r w:rsidR="00BF5DF7">
        <w:t xml:space="preserve"> </w:t>
      </w:r>
      <w:r>
        <w:t>namještenici.</w:t>
      </w:r>
    </w:p>
    <w:p w14:paraId="1DF4E6C0" w14:textId="4B0F7037" w:rsidR="000759BA" w:rsidRDefault="00000000" w:rsidP="00BF5DF7">
      <w:pPr>
        <w:ind w:firstLine="708"/>
        <w:jc w:val="both"/>
      </w:pPr>
      <w:r>
        <w:t>Službenici i namještenici se primaju u službu i raspore</w:t>
      </w:r>
      <w:r>
        <w:rPr>
          <w:rFonts w:eastAsia="TimesNewRoman"/>
        </w:rPr>
        <w:t>đ</w:t>
      </w:r>
      <w:r>
        <w:t>uju na radna mjesta utvr</w:t>
      </w:r>
      <w:r>
        <w:rPr>
          <w:rFonts w:eastAsia="TimesNewRoman"/>
        </w:rPr>
        <w:t>đ</w:t>
      </w:r>
      <w:r>
        <w:t>ena</w:t>
      </w:r>
      <w:r w:rsidR="00BF5DF7">
        <w:t xml:space="preserve"> </w:t>
      </w:r>
      <w:r>
        <w:t>ovim Pravilnikom, u postupku koji je propisan zakonom, u skladu s važe</w:t>
      </w:r>
      <w:r>
        <w:rPr>
          <w:rFonts w:eastAsia="TimesNewRoman"/>
        </w:rPr>
        <w:t>ć</w:t>
      </w:r>
      <w:r>
        <w:t>im Planom prijma u službu.</w:t>
      </w:r>
    </w:p>
    <w:p w14:paraId="15F4EABE" w14:textId="7B9631D6" w:rsidR="000759BA" w:rsidRDefault="00000000" w:rsidP="00BF5DF7">
      <w:pPr>
        <w:ind w:firstLine="708"/>
        <w:jc w:val="both"/>
      </w:pPr>
      <w:r>
        <w:t>Poseban uvjet za raspored na sva radna mjesta službenika je položen državni stru</w:t>
      </w:r>
      <w:r>
        <w:rPr>
          <w:rFonts w:eastAsia="TimesNewRoman"/>
        </w:rPr>
        <w:t>č</w:t>
      </w:r>
      <w:r>
        <w:t>ni</w:t>
      </w:r>
      <w:r w:rsidR="00BF5DF7">
        <w:t xml:space="preserve"> </w:t>
      </w:r>
      <w:r>
        <w:t>ispit. Osoba bez položenog državnog stru</w:t>
      </w:r>
      <w:r>
        <w:rPr>
          <w:rFonts w:eastAsia="TimesNewRoman"/>
        </w:rPr>
        <w:t>č</w:t>
      </w:r>
      <w:r>
        <w:t>nog ispita može biti raspore</w:t>
      </w:r>
      <w:r>
        <w:rPr>
          <w:rFonts w:eastAsia="TimesNewRoman"/>
        </w:rPr>
        <w:t>đ</w:t>
      </w:r>
      <w:r>
        <w:t>ena pod pretpostavkama</w:t>
      </w:r>
      <w:r w:rsidR="00BF5DF7">
        <w:t xml:space="preserve"> </w:t>
      </w:r>
      <w:r>
        <w:t>propisanim zakonom.</w:t>
      </w:r>
    </w:p>
    <w:p w14:paraId="6FDE3B29" w14:textId="77777777" w:rsidR="000759BA" w:rsidRDefault="00000000">
      <w:pPr>
        <w:ind w:firstLine="708"/>
        <w:jc w:val="both"/>
      </w:pPr>
      <w:r>
        <w:lastRenderedPageBreak/>
        <w:t>Obveza probnog rada utvr</w:t>
      </w:r>
      <w:r>
        <w:rPr>
          <w:rFonts w:eastAsia="TimesNewRoman"/>
        </w:rPr>
        <w:t>đ</w:t>
      </w:r>
      <w:r>
        <w:t>uje se u skladu sa zakonom.</w:t>
      </w:r>
    </w:p>
    <w:p w14:paraId="3B908051" w14:textId="77777777" w:rsidR="000759BA" w:rsidRDefault="000759BA">
      <w:pPr>
        <w:ind w:firstLine="708"/>
        <w:rPr>
          <w:b/>
          <w:bCs/>
        </w:rPr>
      </w:pPr>
    </w:p>
    <w:p w14:paraId="319776F9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4.</w:t>
      </w:r>
    </w:p>
    <w:p w14:paraId="37E25C73" w14:textId="2BDEF7E0" w:rsidR="000759BA" w:rsidRDefault="00000000" w:rsidP="00BF5DF7">
      <w:pPr>
        <w:ind w:firstLine="708"/>
        <w:jc w:val="both"/>
      </w:pPr>
      <w:r>
        <w:t>O prijmu u službu, rasporedu na radno mjesto, prestanku službe kao i o drugim pravima</w:t>
      </w:r>
      <w:r w:rsidR="00BF5DF7">
        <w:t xml:space="preserve"> </w:t>
      </w:r>
      <w:r>
        <w:t>i obvezama službenika i namještenika odlu</w:t>
      </w:r>
      <w:r>
        <w:rPr>
          <w:rFonts w:eastAsia="TimesNewRoman"/>
        </w:rPr>
        <w:t>č</w:t>
      </w:r>
      <w:r>
        <w:t>uje rješenjem pro</w:t>
      </w:r>
      <w:r>
        <w:rPr>
          <w:rFonts w:eastAsia="TimesNewRoman"/>
        </w:rPr>
        <w:t>č</w:t>
      </w:r>
      <w:r>
        <w:t>elnik Upravnog odjela.</w:t>
      </w:r>
    </w:p>
    <w:p w14:paraId="0E214439" w14:textId="259922B1" w:rsidR="000759BA" w:rsidRDefault="00000000" w:rsidP="005B78DC">
      <w:pPr>
        <w:ind w:firstLine="708"/>
        <w:jc w:val="both"/>
      </w:pPr>
      <w:r>
        <w:t>O imenovanju i razrješenju pro</w:t>
      </w:r>
      <w:r>
        <w:rPr>
          <w:rFonts w:eastAsia="TimesNewRoman"/>
        </w:rPr>
        <w:t>č</w:t>
      </w:r>
      <w:r>
        <w:t>elnika Upravnog odjela, te o drugim pravima i</w:t>
      </w:r>
      <w:r w:rsidR="005B78DC">
        <w:t xml:space="preserve"> </w:t>
      </w:r>
      <w:r>
        <w:t>obvezama pro</w:t>
      </w:r>
      <w:r>
        <w:rPr>
          <w:rFonts w:eastAsia="TimesNewRoman"/>
        </w:rPr>
        <w:t>č</w:t>
      </w:r>
      <w:r>
        <w:t>elnika odlu</w:t>
      </w:r>
      <w:r>
        <w:rPr>
          <w:rFonts w:eastAsia="TimesNewRoman"/>
        </w:rPr>
        <w:t>č</w:t>
      </w:r>
      <w:r>
        <w:t>uje rješenjem Op</w:t>
      </w:r>
      <w:r>
        <w:rPr>
          <w:rFonts w:eastAsia="TimesNewRoman"/>
        </w:rPr>
        <w:t>ć</w:t>
      </w:r>
      <w:r>
        <w:t>inski na</w:t>
      </w:r>
      <w:r>
        <w:rPr>
          <w:rFonts w:eastAsia="TimesNewRoman"/>
        </w:rPr>
        <w:t>č</w:t>
      </w:r>
      <w:r>
        <w:t>elnik.</w:t>
      </w:r>
    </w:p>
    <w:p w14:paraId="2D42E8D2" w14:textId="77777777" w:rsidR="000759BA" w:rsidRDefault="000759BA"/>
    <w:p w14:paraId="7AEA8DE9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5.</w:t>
      </w:r>
    </w:p>
    <w:p w14:paraId="789B81AD" w14:textId="72E693BF" w:rsidR="000759BA" w:rsidRDefault="00000000" w:rsidP="001860A4">
      <w:pPr>
        <w:ind w:firstLine="708"/>
        <w:jc w:val="both"/>
      </w:pPr>
      <w:r>
        <w:t>Pro</w:t>
      </w:r>
      <w:r>
        <w:rPr>
          <w:rFonts w:eastAsia="TimesNewRoman"/>
        </w:rPr>
        <w:t>č</w:t>
      </w:r>
      <w:r>
        <w:t>elnik Upravnog odjela odlu</w:t>
      </w:r>
      <w:r>
        <w:rPr>
          <w:rFonts w:eastAsia="TimesNewRoman"/>
        </w:rPr>
        <w:t>č</w:t>
      </w:r>
      <w:r>
        <w:t>uje rješenjem o pravima koje Op</w:t>
      </w:r>
      <w:r>
        <w:rPr>
          <w:rFonts w:eastAsia="TimesNewRoman"/>
        </w:rPr>
        <w:t>ć</w:t>
      </w:r>
      <w:r>
        <w:t>inski na</w:t>
      </w:r>
      <w:r>
        <w:rPr>
          <w:rFonts w:eastAsia="TimesNewRoman"/>
        </w:rPr>
        <w:t>č</w:t>
      </w:r>
      <w:r>
        <w:t>elnik za vrijeme profesionalnog obavljanja dužnosti ostvaruju iz rada</w:t>
      </w:r>
      <w:r w:rsidR="001860A4">
        <w:t xml:space="preserve"> </w:t>
      </w:r>
      <w:r>
        <w:t>u skladu sa zakonom i aktima Op</w:t>
      </w:r>
      <w:r>
        <w:rPr>
          <w:rFonts w:eastAsia="TimesNewRoman"/>
        </w:rPr>
        <w:t>ć</w:t>
      </w:r>
      <w:r>
        <w:t>ine.</w:t>
      </w:r>
    </w:p>
    <w:p w14:paraId="00CAD512" w14:textId="77777777" w:rsidR="000759BA" w:rsidRDefault="000759BA"/>
    <w:p w14:paraId="005CB38A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6.</w:t>
      </w:r>
    </w:p>
    <w:p w14:paraId="7F6057BF" w14:textId="77777777" w:rsidR="000759BA" w:rsidRDefault="00000000">
      <w:pPr>
        <w:ind w:firstLine="708"/>
        <w:jc w:val="both"/>
      </w:pPr>
      <w:r>
        <w:t>Općinski načelnik imenovati će privremenog pročelnika Upravnog odjela u razdoblju od upražnjenog radnog mjesta pročelnika do imenovanja pročelnika na način propisan Zakonom, odnosno u razdoblju duže odsutnosti pročelnika.</w:t>
      </w:r>
    </w:p>
    <w:p w14:paraId="2E1342F1" w14:textId="77777777" w:rsidR="000759BA" w:rsidRDefault="000759BA">
      <w:pPr>
        <w:rPr>
          <w:b/>
          <w:bCs/>
        </w:rPr>
      </w:pPr>
    </w:p>
    <w:p w14:paraId="33FBF1FE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7.</w:t>
      </w:r>
    </w:p>
    <w:p w14:paraId="27AB3784" w14:textId="35A96461" w:rsidR="000759BA" w:rsidRDefault="00000000" w:rsidP="00BF5DF7">
      <w:pPr>
        <w:ind w:firstLine="708"/>
        <w:jc w:val="both"/>
      </w:pPr>
      <w:r>
        <w:t>Tjedno radno vrijeme Upravnog odjela raspore</w:t>
      </w:r>
      <w:r>
        <w:rPr>
          <w:rFonts w:eastAsia="TimesNewRoman"/>
        </w:rPr>
        <w:t>đ</w:t>
      </w:r>
      <w:r>
        <w:t>uje se na 5 radnih dana, od ponedjeljka</w:t>
      </w:r>
      <w:r w:rsidR="00BF5DF7">
        <w:t xml:space="preserve"> </w:t>
      </w:r>
      <w:r>
        <w:t>do petka.</w:t>
      </w:r>
    </w:p>
    <w:p w14:paraId="6E7D942C" w14:textId="77777777" w:rsidR="000759BA" w:rsidRDefault="00000000">
      <w:pPr>
        <w:ind w:firstLine="708"/>
        <w:jc w:val="both"/>
      </w:pPr>
      <w:r>
        <w:t>Dnevno radno vrijeme odre</w:t>
      </w:r>
      <w:r>
        <w:rPr>
          <w:rFonts w:eastAsia="TimesNewRoman"/>
        </w:rPr>
        <w:t>đ</w:t>
      </w:r>
      <w:r>
        <w:t>uje se od 7.00 do 15.00 sati.</w:t>
      </w:r>
    </w:p>
    <w:p w14:paraId="3C09F5E9" w14:textId="2315DD46" w:rsidR="000759BA" w:rsidRDefault="00000000" w:rsidP="005B78DC">
      <w:pPr>
        <w:ind w:firstLine="708"/>
        <w:jc w:val="both"/>
      </w:pPr>
      <w:r>
        <w:t>Op</w:t>
      </w:r>
      <w:r>
        <w:rPr>
          <w:rFonts w:eastAsia="TimesNewRoman"/>
        </w:rPr>
        <w:t>ć</w:t>
      </w:r>
      <w:r>
        <w:t>inski na</w:t>
      </w:r>
      <w:r>
        <w:rPr>
          <w:rFonts w:eastAsia="TimesNewRoman"/>
        </w:rPr>
        <w:t>č</w:t>
      </w:r>
      <w:r>
        <w:t>elnik može ovisno o potrebama službe i mjesnim prilikama za pojedine</w:t>
      </w:r>
      <w:r w:rsidR="005B78DC">
        <w:t xml:space="preserve"> </w:t>
      </w:r>
      <w:r>
        <w:t>službenike i namještenike odrediti i druga</w:t>
      </w:r>
      <w:r>
        <w:rPr>
          <w:rFonts w:eastAsia="TimesNewRoman"/>
        </w:rPr>
        <w:t>č</w:t>
      </w:r>
      <w:r>
        <w:t>iji raspored tjednog i dnevnog radnog vremena.</w:t>
      </w:r>
    </w:p>
    <w:p w14:paraId="652BBC1E" w14:textId="77777777" w:rsidR="000759BA" w:rsidRDefault="000759BA">
      <w:pPr>
        <w:rPr>
          <w:b/>
          <w:bCs/>
        </w:rPr>
      </w:pPr>
    </w:p>
    <w:p w14:paraId="59DCA7E2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8.</w:t>
      </w:r>
    </w:p>
    <w:p w14:paraId="7B41CDAC" w14:textId="7A73A3E5" w:rsidR="000759BA" w:rsidRDefault="00000000" w:rsidP="005B78DC">
      <w:pPr>
        <w:ind w:firstLine="708"/>
        <w:jc w:val="both"/>
      </w:pPr>
      <w:r>
        <w:t>Uredovno vrijeme za rad sa strankama odre</w:t>
      </w:r>
      <w:r>
        <w:rPr>
          <w:rFonts w:eastAsia="TimesNewRoman"/>
        </w:rPr>
        <w:t>đ</w:t>
      </w:r>
      <w:r>
        <w:t>uje se svakog radnog dana u vremenu</w:t>
      </w:r>
      <w:r w:rsidR="005B78DC">
        <w:t xml:space="preserve"> </w:t>
      </w:r>
      <w:r>
        <w:t>trajanja dnevnog radnog vremena.</w:t>
      </w:r>
    </w:p>
    <w:p w14:paraId="267C43D0" w14:textId="77777777" w:rsidR="000759BA" w:rsidRDefault="000759BA">
      <w:pPr>
        <w:rPr>
          <w:b/>
          <w:bCs/>
        </w:rPr>
      </w:pPr>
    </w:p>
    <w:p w14:paraId="0842390A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9.</w:t>
      </w:r>
    </w:p>
    <w:p w14:paraId="722CE859" w14:textId="4F15A821" w:rsidR="000759BA" w:rsidRDefault="00000000" w:rsidP="00BF5DF7">
      <w:pPr>
        <w:ind w:firstLine="708"/>
        <w:jc w:val="both"/>
      </w:pPr>
      <w:r>
        <w:t>Prava, obveze i odgovornosti službenika i namještenika u Upravnom odjelu ure</w:t>
      </w:r>
      <w:r>
        <w:rPr>
          <w:rFonts w:eastAsia="TimesNewRoman"/>
        </w:rPr>
        <w:t>đ</w:t>
      </w:r>
      <w:r>
        <w:t>uju se</w:t>
      </w:r>
      <w:r w:rsidR="00BF5DF7">
        <w:t xml:space="preserve"> </w:t>
      </w:r>
      <w:r>
        <w:t>zakonom i na temelju zakona donesenim propisima.</w:t>
      </w:r>
    </w:p>
    <w:p w14:paraId="4184F991" w14:textId="042422CB" w:rsidR="000759BA" w:rsidRDefault="00000000" w:rsidP="00BF5DF7">
      <w:pPr>
        <w:ind w:firstLine="708"/>
        <w:jc w:val="both"/>
      </w:pPr>
      <w:r>
        <w:t>Na pitanja koja nisu ure</w:t>
      </w:r>
      <w:r>
        <w:rPr>
          <w:rFonts w:eastAsia="TimesNewRoman"/>
        </w:rPr>
        <w:t>đ</w:t>
      </w:r>
      <w:r>
        <w:t>ena zakonom, propisima na temelju zakona ili aktima Op</w:t>
      </w:r>
      <w:r>
        <w:rPr>
          <w:rFonts w:eastAsia="TimesNewRoman"/>
        </w:rPr>
        <w:t>ć</w:t>
      </w:r>
      <w:r>
        <w:t>ine,</w:t>
      </w:r>
      <w:r w:rsidR="00BF5DF7">
        <w:t xml:space="preserve"> </w:t>
      </w:r>
      <w:r>
        <w:t>primjenjuju se op</w:t>
      </w:r>
      <w:r>
        <w:rPr>
          <w:rFonts w:eastAsia="TimesNewRoman"/>
        </w:rPr>
        <w:t>ć</w:t>
      </w:r>
      <w:r>
        <w:t>i propisi o radu.</w:t>
      </w:r>
    </w:p>
    <w:p w14:paraId="25671249" w14:textId="77777777" w:rsidR="000759BA" w:rsidRDefault="000759BA">
      <w:pPr>
        <w:rPr>
          <w:b/>
          <w:bCs/>
        </w:rPr>
      </w:pPr>
    </w:p>
    <w:p w14:paraId="7E352F7E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10.</w:t>
      </w:r>
    </w:p>
    <w:p w14:paraId="1A4C330E" w14:textId="29C728EB" w:rsidR="000759BA" w:rsidRDefault="00000000" w:rsidP="00BF5DF7">
      <w:pPr>
        <w:ind w:firstLine="708"/>
        <w:jc w:val="both"/>
      </w:pPr>
      <w:r>
        <w:t xml:space="preserve">U upravnom postupku postupa službenik u </w:t>
      </w:r>
      <w:r>
        <w:rPr>
          <w:rFonts w:eastAsia="TimesNewRoman"/>
        </w:rPr>
        <w:t>č</w:t>
      </w:r>
      <w:r>
        <w:t>ijem opisu poslova je vo</w:t>
      </w:r>
      <w:r>
        <w:rPr>
          <w:rFonts w:eastAsia="TimesNewRoman"/>
        </w:rPr>
        <w:t>đ</w:t>
      </w:r>
      <w:r>
        <w:t>enje tog postupka</w:t>
      </w:r>
      <w:r w:rsidR="00BF5DF7">
        <w:t xml:space="preserve"> </w:t>
      </w:r>
      <w:r>
        <w:t>ili rješavanje o upravnim stvarima.</w:t>
      </w:r>
    </w:p>
    <w:p w14:paraId="17BE1C0C" w14:textId="49511CCF" w:rsidR="000759BA" w:rsidRDefault="00000000" w:rsidP="00BF5DF7">
      <w:pPr>
        <w:ind w:firstLine="708"/>
        <w:jc w:val="both"/>
      </w:pPr>
      <w:r>
        <w:t>Službenik ovlašten za rješavanje o upravnim stvarima ovlašten je i za vo</w:t>
      </w:r>
      <w:r>
        <w:rPr>
          <w:rFonts w:eastAsia="TimesNewRoman"/>
        </w:rPr>
        <w:t>đ</w:t>
      </w:r>
      <w:r>
        <w:t>enje postupka</w:t>
      </w:r>
      <w:r w:rsidR="00BF5DF7">
        <w:t xml:space="preserve"> </w:t>
      </w:r>
      <w:r>
        <w:t>koji prethodi rješavanju upravne stvari.</w:t>
      </w:r>
    </w:p>
    <w:p w14:paraId="6BAA9E56" w14:textId="30C3BEBA" w:rsidR="000759BA" w:rsidRDefault="00000000" w:rsidP="00BF5DF7">
      <w:pPr>
        <w:ind w:firstLine="708"/>
        <w:jc w:val="both"/>
      </w:pPr>
      <w:r>
        <w:t>Kad je službenik kojem je u opisu poslova vo</w:t>
      </w:r>
      <w:r>
        <w:rPr>
          <w:rFonts w:eastAsia="TimesNewRoman"/>
        </w:rPr>
        <w:t>đ</w:t>
      </w:r>
      <w:r>
        <w:t>enje upravnog postupka ili rješavanje o</w:t>
      </w:r>
      <w:r w:rsidR="00BF5DF7">
        <w:t xml:space="preserve"> </w:t>
      </w:r>
      <w:r>
        <w:t>upravnim stvarima odsutan ili postoje zapreke za njegovo postupanje ili odnosno radno mjesto</w:t>
      </w:r>
      <w:r w:rsidR="00BF5DF7">
        <w:t xml:space="preserve"> </w:t>
      </w:r>
      <w:r>
        <w:t>nije popunjeno za vo</w:t>
      </w:r>
      <w:r>
        <w:rPr>
          <w:rFonts w:eastAsia="TimesNewRoman"/>
        </w:rPr>
        <w:t>đ</w:t>
      </w:r>
      <w:r>
        <w:t>enje postupka, odnosno rješavanje upravne stvari, nadležan je pro</w:t>
      </w:r>
      <w:r>
        <w:rPr>
          <w:rFonts w:eastAsia="TimesNewRoman"/>
        </w:rPr>
        <w:t>č</w:t>
      </w:r>
      <w:r>
        <w:t>elnik</w:t>
      </w:r>
      <w:r w:rsidR="00BF5DF7">
        <w:t xml:space="preserve"> </w:t>
      </w:r>
      <w:r>
        <w:t>Upravnog odjela.</w:t>
      </w:r>
    </w:p>
    <w:p w14:paraId="0B893CC9" w14:textId="77777777" w:rsidR="000759BA" w:rsidRDefault="000759BA">
      <w:pPr>
        <w:jc w:val="both"/>
      </w:pPr>
    </w:p>
    <w:p w14:paraId="2AEDA218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11.</w:t>
      </w:r>
    </w:p>
    <w:p w14:paraId="05A095E4" w14:textId="35F02918" w:rsidR="000759BA" w:rsidRDefault="00000000" w:rsidP="00BF5DF7">
      <w:pPr>
        <w:ind w:firstLine="708"/>
        <w:jc w:val="both"/>
      </w:pPr>
      <w:r>
        <w:t>Službenici i namještenici Upravnog odjela dužni su savjesno, pravovremeno i stru</w:t>
      </w:r>
      <w:r>
        <w:rPr>
          <w:rFonts w:eastAsia="TimesNewRoman"/>
        </w:rPr>
        <w:t>č</w:t>
      </w:r>
      <w:r>
        <w:t>no</w:t>
      </w:r>
      <w:r w:rsidR="00BF5DF7">
        <w:t xml:space="preserve"> </w:t>
      </w:r>
      <w:r>
        <w:t>obavljati poslove i zada</w:t>
      </w:r>
      <w:r>
        <w:rPr>
          <w:rFonts w:eastAsia="TimesNewRoman"/>
        </w:rPr>
        <w:t>ć</w:t>
      </w:r>
      <w:r>
        <w:t>e sukladno zakonu, drugim propisima i ovom Pravilniku, te uputama</w:t>
      </w:r>
      <w:r w:rsidR="00BF5DF7">
        <w:t xml:space="preserve"> </w:t>
      </w:r>
      <w:r>
        <w:t>pro</w:t>
      </w:r>
      <w:r>
        <w:rPr>
          <w:rFonts w:eastAsia="TimesNewRoman"/>
        </w:rPr>
        <w:t>č</w:t>
      </w:r>
      <w:r>
        <w:t>elnika, te su dužni u obavljanju poslova me</w:t>
      </w:r>
      <w:r>
        <w:rPr>
          <w:rFonts w:eastAsia="TimesNewRoman"/>
        </w:rPr>
        <w:t>đ</w:t>
      </w:r>
      <w:r>
        <w:t>usobno sura</w:t>
      </w:r>
      <w:r>
        <w:rPr>
          <w:rFonts w:eastAsia="TimesNewRoman"/>
        </w:rPr>
        <w:t>đ</w:t>
      </w:r>
      <w:r>
        <w:t>ivati.</w:t>
      </w:r>
    </w:p>
    <w:p w14:paraId="1681E9FB" w14:textId="1EA0A8D9" w:rsidR="000759BA" w:rsidRDefault="00000000" w:rsidP="005B78DC">
      <w:pPr>
        <w:ind w:firstLine="708"/>
        <w:jc w:val="both"/>
      </w:pPr>
      <w:r>
        <w:t>Službenici imaju pravo i obvezu u radu koristiti nova saznanja, usvajati i primjenjivati</w:t>
      </w:r>
      <w:r w:rsidR="00BF5DF7">
        <w:t xml:space="preserve"> </w:t>
      </w:r>
      <w:r>
        <w:t>stru</w:t>
      </w:r>
      <w:r>
        <w:rPr>
          <w:rFonts w:eastAsia="TimesNewRoman"/>
        </w:rPr>
        <w:t>č</w:t>
      </w:r>
      <w:r>
        <w:t>na dostignu</w:t>
      </w:r>
      <w:r>
        <w:rPr>
          <w:rFonts w:eastAsia="TimesNewRoman"/>
        </w:rPr>
        <w:t>ć</w:t>
      </w:r>
      <w:r>
        <w:t>a u svojoj struci te se trajno usavršavati.</w:t>
      </w:r>
    </w:p>
    <w:p w14:paraId="2E755D64" w14:textId="4C3D3438" w:rsidR="000759BA" w:rsidRDefault="00000000" w:rsidP="00BF5DF7">
      <w:pPr>
        <w:ind w:firstLine="708"/>
        <w:jc w:val="both"/>
      </w:pPr>
      <w:r>
        <w:lastRenderedPageBreak/>
        <w:t>U komuniciranju sa strankama službenici i namještenici su dužni primiti stranku s</w:t>
      </w:r>
      <w:r w:rsidR="005B78DC">
        <w:t xml:space="preserve"> </w:t>
      </w:r>
      <w:r>
        <w:t>dužnim poštovanjem i olakšati joj ostvarivanje njezinog prava i izvršenje obveze te joj pružiti</w:t>
      </w:r>
      <w:r w:rsidR="00BF5DF7">
        <w:t xml:space="preserve"> </w:t>
      </w:r>
      <w:r>
        <w:t>pomo</w:t>
      </w:r>
      <w:r>
        <w:rPr>
          <w:rFonts w:eastAsia="TimesNewRoman"/>
        </w:rPr>
        <w:t xml:space="preserve">ć </w:t>
      </w:r>
      <w:r>
        <w:t>i potrebna objašnjenja.</w:t>
      </w:r>
    </w:p>
    <w:p w14:paraId="678C87DD" w14:textId="77777777" w:rsidR="000759BA" w:rsidRDefault="000759BA"/>
    <w:p w14:paraId="15450E84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12.</w:t>
      </w:r>
    </w:p>
    <w:p w14:paraId="6B018061" w14:textId="7273BF98" w:rsidR="000759BA" w:rsidRDefault="00000000" w:rsidP="005B78DC">
      <w:pPr>
        <w:ind w:firstLine="708"/>
        <w:jc w:val="both"/>
      </w:pPr>
      <w:r>
        <w:t>Službenici su dužni prijaviti mogu</w:t>
      </w:r>
      <w:r>
        <w:rPr>
          <w:rFonts w:eastAsia="TimesNewRoman"/>
        </w:rPr>
        <w:t>ć</w:t>
      </w:r>
      <w:r>
        <w:t>i sukob interesa u skladu i u slu</w:t>
      </w:r>
      <w:r>
        <w:rPr>
          <w:rFonts w:eastAsia="TimesNewRoman"/>
        </w:rPr>
        <w:t>č</w:t>
      </w:r>
      <w:r>
        <w:t>ajevima propisanim</w:t>
      </w:r>
      <w:r w:rsidR="00BF5DF7">
        <w:t xml:space="preserve"> </w:t>
      </w:r>
      <w:r>
        <w:t>Zakonom o službenicima i namještenicima u lokalnoj i podru</w:t>
      </w:r>
      <w:r>
        <w:rPr>
          <w:rFonts w:eastAsia="TimesNewRoman"/>
        </w:rPr>
        <w:t>č</w:t>
      </w:r>
      <w:r>
        <w:t>noj (regionalnoj) samoupravi.</w:t>
      </w:r>
    </w:p>
    <w:p w14:paraId="256D9BE9" w14:textId="1728B2D1" w:rsidR="000759BA" w:rsidRDefault="00000000" w:rsidP="005B78DC">
      <w:pPr>
        <w:ind w:firstLine="708"/>
        <w:jc w:val="both"/>
      </w:pPr>
      <w:r>
        <w:t>Službenici koji ostvare pristup ili postupaju s podacima utvr</w:t>
      </w:r>
      <w:r>
        <w:rPr>
          <w:rFonts w:eastAsia="TimesNewRoman"/>
        </w:rPr>
        <w:t>đ</w:t>
      </w:r>
      <w:r>
        <w:t>enim jednim od stupnjeva</w:t>
      </w:r>
      <w:r w:rsidR="00BF5DF7">
        <w:t xml:space="preserve"> </w:t>
      </w:r>
      <w:r>
        <w:t xml:space="preserve">tajnosti sukladno posebnom zakonu, dužni su </w:t>
      </w:r>
      <w:r>
        <w:rPr>
          <w:rFonts w:eastAsia="TimesNewRoman"/>
        </w:rPr>
        <w:t>č</w:t>
      </w:r>
      <w:r>
        <w:t>uvati tajnost tih podataka za vrijeme i nakon</w:t>
      </w:r>
    </w:p>
    <w:p w14:paraId="79031368" w14:textId="77777777" w:rsidR="000759BA" w:rsidRDefault="00000000">
      <w:pPr>
        <w:jc w:val="both"/>
      </w:pPr>
      <w:r>
        <w:t>prestanka službe.</w:t>
      </w:r>
    </w:p>
    <w:p w14:paraId="060C6DDA" w14:textId="77777777" w:rsidR="000759BA" w:rsidRDefault="000759BA"/>
    <w:p w14:paraId="25DEFB6B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13.</w:t>
      </w:r>
    </w:p>
    <w:p w14:paraId="5DD3AD74" w14:textId="0C5DE6C6" w:rsidR="000759BA" w:rsidRDefault="00000000" w:rsidP="00BF5DF7">
      <w:pPr>
        <w:ind w:firstLine="708"/>
        <w:jc w:val="both"/>
      </w:pPr>
      <w:r>
        <w:t>Informacije iz nadležnosti Upravnog odjela za potrebe javnosti daje Op</w:t>
      </w:r>
      <w:r>
        <w:rPr>
          <w:rFonts w:eastAsia="TimesNewRoman"/>
        </w:rPr>
        <w:t>ć</w:t>
      </w:r>
      <w:r>
        <w:t>inski na</w:t>
      </w:r>
      <w:r>
        <w:rPr>
          <w:rFonts w:eastAsia="TimesNewRoman"/>
        </w:rPr>
        <w:t>č</w:t>
      </w:r>
      <w:r>
        <w:t>elnik,</w:t>
      </w:r>
      <w:r w:rsidR="00BF5DF7">
        <w:t xml:space="preserve"> </w:t>
      </w:r>
      <w:r>
        <w:t>odnosno službenik za informiranje ili pro</w:t>
      </w:r>
      <w:r>
        <w:rPr>
          <w:rFonts w:eastAsia="TimesNewRoman"/>
        </w:rPr>
        <w:t>č</w:t>
      </w:r>
      <w:r>
        <w:t>elnik, kad ih Op</w:t>
      </w:r>
      <w:r>
        <w:rPr>
          <w:rFonts w:eastAsia="TimesNewRoman"/>
        </w:rPr>
        <w:t>ć</w:t>
      </w:r>
      <w:r>
        <w:t>inski na</w:t>
      </w:r>
      <w:r>
        <w:rPr>
          <w:rFonts w:eastAsia="TimesNewRoman"/>
        </w:rPr>
        <w:t>č</w:t>
      </w:r>
      <w:r>
        <w:t>elnik za to ovlasti.</w:t>
      </w:r>
    </w:p>
    <w:p w14:paraId="1CB21C2D" w14:textId="77777777" w:rsidR="000759BA" w:rsidRDefault="000759BA">
      <w:pPr>
        <w:rPr>
          <w:b/>
          <w:bCs/>
        </w:rPr>
      </w:pPr>
    </w:p>
    <w:p w14:paraId="77EFA670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14.</w:t>
      </w:r>
    </w:p>
    <w:p w14:paraId="518AD00B" w14:textId="420077A4" w:rsidR="000759BA" w:rsidRDefault="00000000" w:rsidP="005B78DC">
      <w:pPr>
        <w:ind w:firstLine="708"/>
        <w:jc w:val="both"/>
      </w:pPr>
      <w:r>
        <w:t>Službenike i namještenike se ocjenjuje svake godine do 31. ožujka za prethodnu</w:t>
      </w:r>
      <w:r w:rsidR="005B78DC">
        <w:t xml:space="preserve"> </w:t>
      </w:r>
      <w:r>
        <w:t>kalendarsku godinu, u skladu sa zakonom i op</w:t>
      </w:r>
      <w:r>
        <w:rPr>
          <w:rFonts w:eastAsia="TimesNewRoman"/>
        </w:rPr>
        <w:t>ć</w:t>
      </w:r>
      <w:r>
        <w:t>im aktima Op</w:t>
      </w:r>
      <w:r>
        <w:rPr>
          <w:rFonts w:eastAsia="TimesNewRoman"/>
        </w:rPr>
        <w:t>ć</w:t>
      </w:r>
      <w:r>
        <w:t>ine.</w:t>
      </w:r>
    </w:p>
    <w:p w14:paraId="555C0FE9" w14:textId="77777777" w:rsidR="000759BA" w:rsidRDefault="000759BA">
      <w:pPr>
        <w:rPr>
          <w:b/>
          <w:bCs/>
        </w:rPr>
      </w:pPr>
    </w:p>
    <w:p w14:paraId="47DB3649" w14:textId="77777777" w:rsidR="000759BA" w:rsidRDefault="00000000">
      <w:pPr>
        <w:jc w:val="center"/>
        <w:rPr>
          <w:b/>
          <w:bCs/>
        </w:rPr>
      </w:pPr>
      <w:r>
        <w:rPr>
          <w:b/>
          <w:bCs/>
        </w:rPr>
        <w:t>Članak 15.</w:t>
      </w:r>
    </w:p>
    <w:p w14:paraId="3FBE63CA" w14:textId="77777777" w:rsidR="000759BA" w:rsidRDefault="00000000">
      <w:pPr>
        <w:ind w:firstLine="708"/>
        <w:jc w:val="both"/>
      </w:pPr>
      <w:r>
        <w:t>Upravni odjel se ustrojava bez unutarnjih ustrojstvenih jedinica.</w:t>
      </w:r>
    </w:p>
    <w:p w14:paraId="06070AFD" w14:textId="77777777" w:rsidR="000759BA" w:rsidRDefault="000759BA">
      <w:pPr>
        <w:jc w:val="center"/>
        <w:rPr>
          <w:b/>
          <w:bCs/>
        </w:rPr>
      </w:pPr>
    </w:p>
    <w:p w14:paraId="573D2DC7" w14:textId="77777777" w:rsidR="000759BA" w:rsidRDefault="00000000">
      <w:pPr>
        <w:jc w:val="center"/>
      </w:pPr>
      <w:r>
        <w:rPr>
          <w:b/>
          <w:bCs/>
        </w:rPr>
        <w:t>Članak 16.</w:t>
      </w:r>
    </w:p>
    <w:p w14:paraId="0BF1344D" w14:textId="798EDD5E" w:rsidR="000759BA" w:rsidRDefault="00000000" w:rsidP="005B78DC">
      <w:pPr>
        <w:ind w:firstLine="708"/>
        <w:jc w:val="both"/>
      </w:pPr>
      <w:r>
        <w:t xml:space="preserve">Sastavni dio ovog Pravilnika </w:t>
      </w:r>
      <w:r>
        <w:rPr>
          <w:rFonts w:eastAsia="TimesNewRoman"/>
        </w:rPr>
        <w:t>č</w:t>
      </w:r>
      <w:r>
        <w:t>ini Sistematizacija radnih mjesta u Upravnom odjelu,</w:t>
      </w:r>
      <w:r w:rsidR="005B78DC">
        <w:t xml:space="preserve"> </w:t>
      </w:r>
      <w:r>
        <w:t>koja sadrži nazive radnih mjesta, opis poslova radnih mjesta i broj izvršitelja na pojedinom</w:t>
      </w:r>
    </w:p>
    <w:p w14:paraId="3F7030E2" w14:textId="77777777" w:rsidR="000759BA" w:rsidRDefault="00000000">
      <w:pPr>
        <w:jc w:val="both"/>
      </w:pPr>
      <w:r>
        <w:t>radnom mjestu.</w:t>
      </w:r>
    </w:p>
    <w:p w14:paraId="4E102FCF" w14:textId="77777777" w:rsidR="000759BA" w:rsidRDefault="00000000">
      <w:pPr>
        <w:ind w:firstLine="708"/>
        <w:jc w:val="both"/>
      </w:pPr>
      <w:r>
        <w:t xml:space="preserve">Opis radnog mjesta sadrži standardna mjerila koji su propisani Uredbom o klasifikaciji radnih mjesta u lokalnoj i područnoj (regionalnoj) samoupravi. </w:t>
      </w:r>
    </w:p>
    <w:p w14:paraId="5E06ECA4" w14:textId="77777777" w:rsidR="000759BA" w:rsidRDefault="000759BA">
      <w:pPr>
        <w:rPr>
          <w:b/>
          <w:bCs/>
        </w:rPr>
      </w:pPr>
    </w:p>
    <w:p w14:paraId="4AB1449E" w14:textId="77777777" w:rsidR="000759BA" w:rsidRDefault="00000000">
      <w:pPr>
        <w:jc w:val="center"/>
      </w:pPr>
      <w:r>
        <w:rPr>
          <w:b/>
          <w:bCs/>
        </w:rPr>
        <w:t>Članak 17.</w:t>
      </w:r>
    </w:p>
    <w:p w14:paraId="222F3733" w14:textId="44C3A5E0" w:rsidR="000759BA" w:rsidRDefault="00000000" w:rsidP="005B78DC">
      <w:pPr>
        <w:ind w:firstLine="708"/>
        <w:jc w:val="both"/>
      </w:pPr>
      <w:r>
        <w:t xml:space="preserve">Službenici i namještenici zaposleni u Jedinstvenom upravnom odjelu rasporedit </w:t>
      </w:r>
      <w:r>
        <w:rPr>
          <w:rFonts w:eastAsia="TimesNewRoman"/>
        </w:rPr>
        <w:t>ć</w:t>
      </w:r>
      <w:r>
        <w:t>e se na</w:t>
      </w:r>
      <w:r w:rsidR="005B78DC">
        <w:t xml:space="preserve"> </w:t>
      </w:r>
      <w:r>
        <w:t>radna mjesta utvr</w:t>
      </w:r>
      <w:r>
        <w:rPr>
          <w:rFonts w:eastAsia="TimesNewRoman"/>
        </w:rPr>
        <w:t>đ</w:t>
      </w:r>
      <w:r>
        <w:t>ena ovim Pravilnikom, a ovisno o svojoj stru</w:t>
      </w:r>
      <w:r>
        <w:rPr>
          <w:rFonts w:eastAsia="TimesNewRoman"/>
        </w:rPr>
        <w:t>č</w:t>
      </w:r>
      <w:r>
        <w:t>noj spremi i poslovima koje su do sada obavljali.</w:t>
      </w:r>
    </w:p>
    <w:p w14:paraId="08655C4C" w14:textId="77777777" w:rsidR="000759BA" w:rsidRDefault="000759BA">
      <w:pPr>
        <w:rPr>
          <w:b/>
          <w:bCs/>
        </w:rPr>
      </w:pPr>
    </w:p>
    <w:p w14:paraId="33928F00" w14:textId="77777777" w:rsidR="000759BA" w:rsidRDefault="00000000">
      <w:pPr>
        <w:jc w:val="center"/>
      </w:pPr>
      <w:r>
        <w:rPr>
          <w:b/>
          <w:bCs/>
        </w:rPr>
        <w:t>Članak 18.</w:t>
      </w:r>
    </w:p>
    <w:p w14:paraId="37CA7BC3" w14:textId="3A97E9DC" w:rsidR="000759BA" w:rsidRDefault="00000000" w:rsidP="00A358CD">
      <w:pPr>
        <w:ind w:firstLine="708"/>
        <w:jc w:val="both"/>
      </w:pPr>
      <w:r>
        <w:t xml:space="preserve">Rješenja o rasporedu na radna mjesta na temelju ovog Pravilnika donijeti </w:t>
      </w:r>
      <w:r>
        <w:rPr>
          <w:rFonts w:eastAsia="TimesNewRoman"/>
        </w:rPr>
        <w:t>ć</w:t>
      </w:r>
      <w:r>
        <w:t>e pro</w:t>
      </w:r>
      <w:r>
        <w:rPr>
          <w:rFonts w:eastAsia="TimesNewRoman"/>
        </w:rPr>
        <w:t>č</w:t>
      </w:r>
      <w:r>
        <w:t>elnik u zakonom propisanom roku.</w:t>
      </w:r>
    </w:p>
    <w:p w14:paraId="6DFACB44" w14:textId="77777777" w:rsidR="000759BA" w:rsidRDefault="000759BA">
      <w:pPr>
        <w:rPr>
          <w:b/>
          <w:bCs/>
        </w:rPr>
      </w:pPr>
    </w:p>
    <w:p w14:paraId="4954F154" w14:textId="77777777" w:rsidR="000759BA" w:rsidRDefault="00000000">
      <w:pPr>
        <w:jc w:val="center"/>
      </w:pPr>
      <w:r>
        <w:rPr>
          <w:b/>
          <w:bCs/>
        </w:rPr>
        <w:t>Članak 19.</w:t>
      </w:r>
    </w:p>
    <w:p w14:paraId="53FACDB1" w14:textId="69163214" w:rsidR="000759BA" w:rsidRDefault="00000000" w:rsidP="005B78DC">
      <w:pPr>
        <w:ind w:firstLine="708"/>
        <w:jc w:val="both"/>
      </w:pPr>
      <w:r>
        <w:t>Izrazi koji se u ovom Pravilniku koriste za osobe, a u muškom su rodu, neutralni su i</w:t>
      </w:r>
      <w:r w:rsidR="005B78DC">
        <w:t xml:space="preserve"> </w:t>
      </w:r>
      <w:r>
        <w:t>odnose se na muške i ženske osobe.</w:t>
      </w:r>
    </w:p>
    <w:p w14:paraId="0EE9BEA7" w14:textId="341FB33A" w:rsidR="000759BA" w:rsidRDefault="00000000" w:rsidP="005B78DC">
      <w:pPr>
        <w:ind w:firstLine="708"/>
        <w:jc w:val="both"/>
      </w:pPr>
      <w:r>
        <w:t>U rješenjima u kojima se odlu</w:t>
      </w:r>
      <w:r>
        <w:rPr>
          <w:rFonts w:eastAsia="TimesNewRoman"/>
        </w:rPr>
        <w:t>č</w:t>
      </w:r>
      <w:r>
        <w:t>uje o pravima, obvezama i odgovornostima službenika i</w:t>
      </w:r>
      <w:r w:rsidR="005B78DC">
        <w:t xml:space="preserve"> </w:t>
      </w:r>
      <w:r>
        <w:t>namještenika, kao i u potpisu pismena te na uredskim natpisima, naziv radnog mjesta navodi se</w:t>
      </w:r>
      <w:r w:rsidR="005B78DC">
        <w:t xml:space="preserve"> </w:t>
      </w:r>
      <w:r>
        <w:t>u rodu koji odgovara spolu službenika, odnosno namještenika raspore</w:t>
      </w:r>
      <w:r>
        <w:rPr>
          <w:rFonts w:eastAsia="TimesNewRoman"/>
        </w:rPr>
        <w:t>đ</w:t>
      </w:r>
      <w:r>
        <w:t>enog na odnosno radno</w:t>
      </w:r>
      <w:r w:rsidR="005B78DC">
        <w:t xml:space="preserve"> </w:t>
      </w:r>
      <w:r>
        <w:t>mjesto.</w:t>
      </w:r>
    </w:p>
    <w:p w14:paraId="3843C949" w14:textId="77777777" w:rsidR="000759BA" w:rsidRDefault="000759BA">
      <w:pPr>
        <w:rPr>
          <w:bCs/>
        </w:rPr>
      </w:pPr>
    </w:p>
    <w:p w14:paraId="1B8DCD57" w14:textId="77777777" w:rsidR="000759BA" w:rsidRDefault="00000000">
      <w:pPr>
        <w:jc w:val="center"/>
      </w:pPr>
      <w:r>
        <w:rPr>
          <w:b/>
          <w:bCs/>
        </w:rPr>
        <w:t>Članak 20.</w:t>
      </w:r>
    </w:p>
    <w:p w14:paraId="0A7A1D10" w14:textId="4358DBAA" w:rsidR="000759BA" w:rsidRDefault="00000000" w:rsidP="007E41FE">
      <w:pPr>
        <w:ind w:firstLine="708"/>
      </w:pPr>
      <w:r>
        <w:t>Danom stupanja na snagu ovog Pravilnika prestaje važiti Pravilnik o unutarnjem redu</w:t>
      </w:r>
      <w:r w:rsidR="007E41FE">
        <w:t xml:space="preserve"> </w:t>
      </w:r>
      <w:r>
        <w:t>Jedinstvenog upravnog odjela Op</w:t>
      </w:r>
      <w:r>
        <w:rPr>
          <w:rFonts w:eastAsia="TimesNewRoman"/>
        </w:rPr>
        <w:t>ć</w:t>
      </w:r>
      <w:r>
        <w:t xml:space="preserve">ine </w:t>
      </w:r>
      <w:r w:rsidR="007E41FE">
        <w:t xml:space="preserve">Negoslavci (Službeni glasnik Općine Negoslavci 5/22) </w:t>
      </w:r>
    </w:p>
    <w:p w14:paraId="09B9B2ED" w14:textId="77777777" w:rsidR="000759BA" w:rsidRDefault="000759BA">
      <w:pPr>
        <w:rPr>
          <w:b/>
          <w:bCs/>
        </w:rPr>
      </w:pPr>
    </w:p>
    <w:p w14:paraId="3411E5D8" w14:textId="77777777" w:rsidR="000759BA" w:rsidRDefault="00000000">
      <w:pPr>
        <w:jc w:val="center"/>
      </w:pPr>
      <w:r>
        <w:rPr>
          <w:b/>
          <w:bCs/>
        </w:rPr>
        <w:lastRenderedPageBreak/>
        <w:t>Članak 21.</w:t>
      </w:r>
    </w:p>
    <w:p w14:paraId="2DAB6EB4" w14:textId="0807041B" w:rsidR="000759BA" w:rsidRDefault="00000000">
      <w:pPr>
        <w:ind w:firstLine="708"/>
        <w:jc w:val="both"/>
      </w:pPr>
      <w:r>
        <w:t xml:space="preserve">Ovaj Pravilnik stupa na snagu </w:t>
      </w:r>
      <w:r w:rsidR="00136FFD">
        <w:t>osmog</w:t>
      </w:r>
      <w:r>
        <w:t xml:space="preserve"> dana od dana </w:t>
      </w:r>
      <w:r w:rsidR="00136FFD">
        <w:t xml:space="preserve">objave u </w:t>
      </w:r>
      <w:r>
        <w:t>Službenom glasniku Općine Negoslavci.</w:t>
      </w:r>
    </w:p>
    <w:p w14:paraId="24C2C410" w14:textId="77777777" w:rsidR="000759BA" w:rsidRDefault="000759BA">
      <w:pPr>
        <w:rPr>
          <w:b/>
          <w:bCs/>
        </w:rPr>
      </w:pPr>
    </w:p>
    <w:p w14:paraId="5EE85707" w14:textId="77777777" w:rsidR="000759BA" w:rsidRDefault="000759BA">
      <w:pPr>
        <w:rPr>
          <w:b/>
          <w:bCs/>
        </w:rPr>
      </w:pPr>
    </w:p>
    <w:p w14:paraId="125F90BF" w14:textId="77777777" w:rsidR="000759BA" w:rsidRDefault="000759BA">
      <w:pPr>
        <w:rPr>
          <w:b/>
          <w:bCs/>
        </w:rPr>
      </w:pPr>
    </w:p>
    <w:p w14:paraId="7740A3C2" w14:textId="77777777" w:rsidR="000759BA" w:rsidRDefault="000759BA">
      <w:pPr>
        <w:rPr>
          <w:b/>
          <w:bCs/>
        </w:rPr>
      </w:pPr>
    </w:p>
    <w:p w14:paraId="05D74869" w14:textId="77777777" w:rsidR="000759BA" w:rsidRDefault="000759BA">
      <w:pPr>
        <w:rPr>
          <w:b/>
          <w:bCs/>
        </w:rPr>
      </w:pPr>
    </w:p>
    <w:p w14:paraId="2F018C3C" w14:textId="77777777" w:rsidR="000759BA" w:rsidRDefault="00000000">
      <w:pPr>
        <w:ind w:left="6372"/>
        <w:rPr>
          <w:b/>
          <w:bCs/>
        </w:rPr>
      </w:pPr>
      <w:r>
        <w:rPr>
          <w:b/>
          <w:bCs/>
        </w:rPr>
        <w:t>OPĆINSKI NAČELNIK:</w:t>
      </w:r>
    </w:p>
    <w:p w14:paraId="2BD71C56" w14:textId="6F335993" w:rsidR="000759BA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Dušan Jeckov</w:t>
      </w:r>
    </w:p>
    <w:p w14:paraId="7666CAE2" w14:textId="77777777" w:rsidR="000759BA" w:rsidRDefault="000759BA"/>
    <w:p w14:paraId="6082306B" w14:textId="77777777" w:rsidR="000759BA" w:rsidRDefault="000759BA"/>
    <w:p w14:paraId="7D885D7F" w14:textId="77777777" w:rsidR="000759BA" w:rsidRDefault="000759BA"/>
    <w:p w14:paraId="7377CF2A" w14:textId="77777777" w:rsidR="000759BA" w:rsidRDefault="000759BA"/>
    <w:p w14:paraId="56536C2D" w14:textId="77777777" w:rsidR="000759BA" w:rsidRDefault="000759BA"/>
    <w:p w14:paraId="5969E62B" w14:textId="77777777" w:rsidR="000759BA" w:rsidRDefault="000759BA"/>
    <w:p w14:paraId="4EAFE812" w14:textId="77777777" w:rsidR="000759BA" w:rsidRDefault="000759BA"/>
    <w:p w14:paraId="4D66DC52" w14:textId="77777777" w:rsidR="000759BA" w:rsidRDefault="000759BA"/>
    <w:p w14:paraId="7E1F1133" w14:textId="77777777" w:rsidR="000759BA" w:rsidRDefault="000759BA"/>
    <w:p w14:paraId="08E3C273" w14:textId="77777777" w:rsidR="000759BA" w:rsidRDefault="000759BA"/>
    <w:p w14:paraId="24A75F11" w14:textId="77777777" w:rsidR="000759BA" w:rsidRDefault="000759BA"/>
    <w:p w14:paraId="43F6C5E0" w14:textId="77777777" w:rsidR="000759BA" w:rsidRDefault="000759BA"/>
    <w:p w14:paraId="6D11ECC7" w14:textId="77777777" w:rsidR="000759BA" w:rsidRDefault="000759BA"/>
    <w:p w14:paraId="63B5764B" w14:textId="77777777" w:rsidR="000759BA" w:rsidRDefault="000759BA"/>
    <w:p w14:paraId="4387F995" w14:textId="77777777" w:rsidR="000759BA" w:rsidRDefault="000759BA"/>
    <w:p w14:paraId="527E96E7" w14:textId="77777777" w:rsidR="000759BA" w:rsidRDefault="000759BA"/>
    <w:p w14:paraId="5D700A96" w14:textId="77777777" w:rsidR="000759BA" w:rsidRDefault="000759BA"/>
    <w:p w14:paraId="2E530132" w14:textId="77777777" w:rsidR="000759BA" w:rsidRDefault="000759BA"/>
    <w:p w14:paraId="4161B9CC" w14:textId="77777777" w:rsidR="000759BA" w:rsidRDefault="000759BA"/>
    <w:p w14:paraId="5D21B0C2" w14:textId="77777777" w:rsidR="000759BA" w:rsidRDefault="000759BA"/>
    <w:p w14:paraId="7086E0A9" w14:textId="77777777" w:rsidR="000759BA" w:rsidRDefault="000759BA"/>
    <w:p w14:paraId="0165999A" w14:textId="77777777" w:rsidR="000759BA" w:rsidRDefault="000759BA"/>
    <w:p w14:paraId="31C25322" w14:textId="77777777" w:rsidR="000759BA" w:rsidRDefault="000759BA"/>
    <w:p w14:paraId="06FBFCF3" w14:textId="77777777" w:rsidR="000759BA" w:rsidRDefault="000759BA"/>
    <w:p w14:paraId="0C239ABC" w14:textId="77777777" w:rsidR="000759BA" w:rsidRDefault="000759BA"/>
    <w:p w14:paraId="4CF3CCB7" w14:textId="77777777" w:rsidR="000759BA" w:rsidRDefault="000759BA"/>
    <w:p w14:paraId="40016355" w14:textId="77777777" w:rsidR="000759BA" w:rsidRDefault="000759BA"/>
    <w:p w14:paraId="06340C03" w14:textId="77777777" w:rsidR="007E41FE" w:rsidRDefault="007E41FE"/>
    <w:p w14:paraId="1FC5C331" w14:textId="77777777" w:rsidR="007E41FE" w:rsidRDefault="007E41FE"/>
    <w:p w14:paraId="5AEB3337" w14:textId="77777777" w:rsidR="007E41FE" w:rsidRDefault="007E41FE"/>
    <w:p w14:paraId="282A1493" w14:textId="77777777" w:rsidR="007E41FE" w:rsidRDefault="007E41FE"/>
    <w:p w14:paraId="24B449B9" w14:textId="77777777" w:rsidR="007E41FE" w:rsidRDefault="007E41FE"/>
    <w:p w14:paraId="104C83C1" w14:textId="77777777" w:rsidR="000759BA" w:rsidRDefault="000759BA"/>
    <w:p w14:paraId="62674EB7" w14:textId="77777777" w:rsidR="000759BA" w:rsidRDefault="000759BA"/>
    <w:p w14:paraId="0C3923B1" w14:textId="77777777" w:rsidR="00086BEB" w:rsidRDefault="00086BEB"/>
    <w:p w14:paraId="3043A6E3" w14:textId="77777777" w:rsidR="000759BA" w:rsidRDefault="000759BA"/>
    <w:p w14:paraId="2E66153A" w14:textId="77777777" w:rsidR="000759BA" w:rsidRDefault="000759BA"/>
    <w:p w14:paraId="1D4925D8" w14:textId="77777777" w:rsidR="000759BA" w:rsidRDefault="000759BA"/>
    <w:p w14:paraId="7B64674A" w14:textId="77777777" w:rsidR="00596133" w:rsidRDefault="00596133">
      <w:pPr>
        <w:jc w:val="center"/>
        <w:rPr>
          <w:b/>
        </w:rPr>
      </w:pPr>
    </w:p>
    <w:p w14:paraId="5FE9A572" w14:textId="77777777" w:rsidR="00596133" w:rsidRDefault="00596133">
      <w:pPr>
        <w:jc w:val="center"/>
        <w:rPr>
          <w:b/>
        </w:rPr>
      </w:pPr>
    </w:p>
    <w:p w14:paraId="1A3D85CB" w14:textId="55DB7A24" w:rsidR="000759BA" w:rsidRDefault="00000000">
      <w:pPr>
        <w:jc w:val="center"/>
        <w:rPr>
          <w:b/>
        </w:rPr>
      </w:pPr>
      <w:r>
        <w:rPr>
          <w:b/>
        </w:rPr>
        <w:lastRenderedPageBreak/>
        <w:t>SISTEMATIZACIJA RADNIH MJESTA</w:t>
      </w:r>
    </w:p>
    <w:p w14:paraId="45428AAC" w14:textId="77777777" w:rsidR="000759BA" w:rsidRDefault="00000000">
      <w:pPr>
        <w:jc w:val="center"/>
        <w:rPr>
          <w:b/>
        </w:rPr>
      </w:pPr>
      <w:r>
        <w:rPr>
          <w:b/>
        </w:rPr>
        <w:t>U JEDINSTVENOM UPRAVNOM ODJELU</w:t>
      </w:r>
    </w:p>
    <w:p w14:paraId="24CEBEBB" w14:textId="77777777" w:rsidR="000759BA" w:rsidRDefault="00000000">
      <w:pPr>
        <w:jc w:val="center"/>
        <w:rPr>
          <w:b/>
        </w:rPr>
      </w:pPr>
      <w:r>
        <w:rPr>
          <w:b/>
        </w:rPr>
        <w:t>OPĆINE NEGOSLAVCI</w:t>
      </w:r>
    </w:p>
    <w:p w14:paraId="2A77C209" w14:textId="77777777" w:rsidR="000759BA" w:rsidRDefault="000759BA">
      <w:pPr>
        <w:rPr>
          <w:b/>
        </w:rPr>
      </w:pPr>
    </w:p>
    <w:tbl>
      <w:tblPr>
        <w:tblW w:w="1017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3222"/>
        <w:gridCol w:w="1276"/>
        <w:gridCol w:w="1418"/>
        <w:gridCol w:w="850"/>
        <w:gridCol w:w="1559"/>
        <w:gridCol w:w="318"/>
        <w:gridCol w:w="816"/>
      </w:tblGrid>
      <w:tr w:rsidR="000759BA" w14:paraId="542018F2" w14:textId="77777777" w:rsidTr="00E00D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8C4A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14:paraId="0621D57E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F7BF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BB84455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AF0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E6D4EE9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EC55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40F286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Potkategorija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796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3CEA31F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96A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Klasifikacijski</w:t>
            </w:r>
          </w:p>
          <w:p w14:paraId="2D238B6F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FF36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14:paraId="395384F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Izvršitelja</w:t>
            </w:r>
          </w:p>
        </w:tc>
      </w:tr>
      <w:tr w:rsidR="000759BA" w14:paraId="0D72DF01" w14:textId="77777777" w:rsidTr="00E00D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E5E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84AFE9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6FE8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29B17A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Pročelnik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188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0043CE3" w14:textId="77777777" w:rsidR="000759BA" w:rsidRDefault="0000000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9B5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Glavni rukovoditelj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DDF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5E51FFC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D693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81C7893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A1ED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532EB20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759BA" w14:paraId="2045CDF4" w14:textId="77777777" w:rsidTr="00E00D0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DB92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17FB" w14:textId="77777777" w:rsidR="000759BA" w:rsidRDefault="00000000">
            <w:pPr>
              <w:widowControl w:val="0"/>
            </w:pPr>
            <w:r>
              <w:rPr>
                <w:sz w:val="20"/>
                <w:szCs w:val="20"/>
              </w:rPr>
              <w:t>Potrebno stručno znanje</w:t>
            </w: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A48B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poslova radnog mjesta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305A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759BA" w14:paraId="07BA0228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DAA4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DD5A" w14:textId="77777777" w:rsidR="00A358CD" w:rsidRPr="00A358CD" w:rsidRDefault="00000000" w:rsidP="00A358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58CD" w:rsidRPr="00A358CD">
              <w:rPr>
                <w:sz w:val="20"/>
                <w:szCs w:val="20"/>
              </w:rPr>
              <w:t>stručno znanje: sveučilišni diplomski studij ili sveučilišni</w:t>
            </w:r>
          </w:p>
          <w:p w14:paraId="11368F34" w14:textId="77777777" w:rsidR="00A358CD" w:rsidRPr="00A358CD" w:rsidRDefault="00A358CD" w:rsidP="00A358CD">
            <w:pPr>
              <w:widowControl w:val="0"/>
              <w:rPr>
                <w:sz w:val="20"/>
                <w:szCs w:val="20"/>
              </w:rPr>
            </w:pPr>
            <w:r w:rsidRPr="00A358CD">
              <w:rPr>
                <w:sz w:val="20"/>
                <w:szCs w:val="20"/>
              </w:rPr>
              <w:t>integrirani prijediplomski i diplomski studij ili stručni</w:t>
            </w:r>
          </w:p>
          <w:p w14:paraId="10C8260E" w14:textId="72FEC2F4" w:rsidR="00A358CD" w:rsidRPr="00A358CD" w:rsidRDefault="00A358CD" w:rsidP="00A358CD">
            <w:pPr>
              <w:widowControl w:val="0"/>
              <w:rPr>
                <w:sz w:val="20"/>
                <w:szCs w:val="20"/>
              </w:rPr>
            </w:pPr>
            <w:r w:rsidRPr="00A358CD">
              <w:rPr>
                <w:sz w:val="20"/>
                <w:szCs w:val="20"/>
              </w:rPr>
              <w:t>diplomski studij</w:t>
            </w:r>
            <w:r w:rsidR="00D05663">
              <w:rPr>
                <w:sz w:val="20"/>
                <w:szCs w:val="20"/>
              </w:rPr>
              <w:t xml:space="preserve"> pravne ili ekonomske struke</w:t>
            </w:r>
            <w:r w:rsidRPr="00A358CD">
              <w:rPr>
                <w:sz w:val="20"/>
                <w:szCs w:val="20"/>
              </w:rPr>
              <w:t xml:space="preserve">, najmanje </w:t>
            </w:r>
            <w:r w:rsidR="004C037E">
              <w:rPr>
                <w:sz w:val="20"/>
                <w:szCs w:val="20"/>
              </w:rPr>
              <w:t>jedna</w:t>
            </w:r>
            <w:r w:rsidRPr="00A358CD">
              <w:rPr>
                <w:sz w:val="20"/>
                <w:szCs w:val="20"/>
              </w:rPr>
              <w:t xml:space="preserve"> godina radnog iskustva na</w:t>
            </w:r>
            <w:r>
              <w:rPr>
                <w:sz w:val="20"/>
                <w:szCs w:val="20"/>
              </w:rPr>
              <w:t xml:space="preserve"> </w:t>
            </w:r>
            <w:r w:rsidRPr="00A358CD">
              <w:rPr>
                <w:sz w:val="20"/>
                <w:szCs w:val="20"/>
              </w:rPr>
              <w:t>odgovarajućim poslovima, organizacijske sposobnosti i</w:t>
            </w:r>
            <w:r>
              <w:rPr>
                <w:sz w:val="20"/>
                <w:szCs w:val="20"/>
              </w:rPr>
              <w:t xml:space="preserve"> </w:t>
            </w:r>
            <w:r w:rsidRPr="00A358CD">
              <w:rPr>
                <w:sz w:val="20"/>
                <w:szCs w:val="20"/>
              </w:rPr>
              <w:t>komunikacijske vještine potrebne za uspješno upravljanje</w:t>
            </w:r>
            <w:r>
              <w:rPr>
                <w:sz w:val="20"/>
                <w:szCs w:val="20"/>
              </w:rPr>
              <w:t xml:space="preserve"> </w:t>
            </w:r>
            <w:r w:rsidRPr="00A358CD">
              <w:rPr>
                <w:sz w:val="20"/>
                <w:szCs w:val="20"/>
              </w:rPr>
              <w:t>upravnim tijelom ili unutarnjom ustrojstvenom jedinicom</w:t>
            </w:r>
          </w:p>
          <w:p w14:paraId="6B69F82F" w14:textId="69D1486D" w:rsidR="00A358CD" w:rsidRDefault="00A358CD" w:rsidP="00A358CD">
            <w:pPr>
              <w:widowControl w:val="0"/>
              <w:rPr>
                <w:sz w:val="20"/>
                <w:szCs w:val="20"/>
              </w:rPr>
            </w:pPr>
            <w:r w:rsidRPr="00A358CD">
              <w:rPr>
                <w:sz w:val="20"/>
                <w:szCs w:val="20"/>
              </w:rPr>
              <w:t>upravnoga tijela;</w:t>
            </w:r>
            <w:r>
              <w:rPr>
                <w:sz w:val="20"/>
                <w:szCs w:val="20"/>
              </w:rPr>
              <w:t xml:space="preserve"> </w:t>
            </w:r>
            <w:r w:rsidR="00E00D0E" w:rsidRPr="00E00D0E">
              <w:rPr>
                <w:sz w:val="20"/>
                <w:szCs w:val="20"/>
              </w:rPr>
              <w:t>iznimno na radno mjesto pročelnika može biti imenovana osoba koja završi sveučilišni prijediplomski studij ili stručni prijediplomski studij javne uprave ili ekonomije o koja ima najmanje pet godina radnog iskustva na odgovarajućim poslovima i ispunjava ostale uvjete za imenovanje, te ima položen državni ispit za odgovarajuće radno mjesto</w:t>
            </w:r>
            <w:r w:rsidR="00E00D0E">
              <w:rPr>
                <w:sz w:val="20"/>
                <w:szCs w:val="20"/>
              </w:rPr>
              <w:t>;</w:t>
            </w:r>
          </w:p>
          <w:p w14:paraId="6E260AEA" w14:textId="53B89647" w:rsidR="000759BA" w:rsidRDefault="00000000" w:rsidP="00A358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poznavanje rada na računalu,</w:t>
            </w:r>
          </w:p>
          <w:p w14:paraId="447D9D08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stupanj složenosti posla koji uključuje planiranje, vođenje i koordiniranje povjerenih poslova, doprinos razvoju novih koncepata te rješavanje strateških zadaća,</w:t>
            </w:r>
          </w:p>
          <w:p w14:paraId="21FE16A6" w14:textId="77777777" w:rsidR="000759BA" w:rsidRDefault="00000000">
            <w:pPr>
              <w:widowControl w:val="0"/>
            </w:pPr>
            <w:r>
              <w:rPr>
                <w:sz w:val="20"/>
                <w:szCs w:val="20"/>
              </w:rPr>
              <w:t>- stupanj samostalnosti koji uključuje samostalnost u radu i odlučivanju o najsloženijim stručnim pitanjima, ograničenu samo općim smjernicama vezanim uz utvrđenu politiku upravnog tijela,</w:t>
            </w:r>
          </w:p>
          <w:p w14:paraId="2BB79082" w14:textId="77777777" w:rsidR="000759BA" w:rsidRDefault="00000000">
            <w:pPr>
              <w:widowControl w:val="0"/>
            </w:pPr>
            <w:r>
              <w:rPr>
                <w:sz w:val="20"/>
                <w:szCs w:val="20"/>
              </w:rPr>
              <w:t>- 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provedbu,</w:t>
            </w:r>
          </w:p>
          <w:p w14:paraId="3C2F9987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stalna stručna komunikacija unutar i izvan upravnog tijela od utjecaja na provedbu plana i programa upravnog tijela.</w:t>
            </w: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2C4" w14:textId="77777777" w:rsidR="000759BA" w:rsidRDefault="00000000">
            <w:pPr>
              <w:widowControl w:val="0"/>
            </w:pPr>
            <w:r>
              <w:rPr>
                <w:sz w:val="20"/>
                <w:szCs w:val="20"/>
              </w:rPr>
              <w:t>- upravlja i rukovodi Upravnim odjelom u skladu sa zakonom i drugim propisima,</w:t>
            </w:r>
          </w:p>
          <w:p w14:paraId="6A6E010F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prati propise iz nadležnosti upravnog odjela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7DB5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348259C1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759BA" w14:paraId="6B43F9BE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F20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F0A5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F40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organizira, koordinira i kontrolira rad u upravnom odjelu, brine o zakonitom i pravovremenom obavljanju poslova iz nadležnosti upravnog odjela, raspoređuje poslove i zadaće, daje službenicima i namještenicima upute za rad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4C3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5A1196DD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FD57705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3210364B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E2D7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0C79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AE7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predlaže donošenje akata za čije je predlaganje ovlašten, donosi akte sukladno posebnim propisima, priprema nacrte općih akata, programa, izvješća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DCD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3BCC922A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759BA" w14:paraId="272D9A14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9757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202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28E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brine o stručnom osposobljavanju i usavršavanju službenika i namještenika, odlučuje o prijemu u službu, rasporedu na radno mjesto te o drugim pravima službenika i namještenika, kao i o prestanku službe, obavlja nadzor nad radom službenika i namještenika, provodi postupke zbog povrede službene dužnosti, ocjenjuje službenike i namještenike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9488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1B45022C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1710084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59BA" w14:paraId="5FDA753C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A7BE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D986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7AE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postupke pred pravosudnim i upravnim tijelima prema dobivenoj punomoći, vodi upravni postupak i rješava u upravnim stvarima iz nadležnosti upravnog odjela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B6B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0740E694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9BA" w14:paraId="2C3F3187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4D9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C1CF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E807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brine o zakonitom radu Općinskog vijeća i prisustvuje sjednicama Općinskog vijeća i njihovih radnih tijela te daje potrebna tumačenja i obrazloženja iz nadležnosti upravnog odjela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5FD6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7E5F61FD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20E74570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E362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EA30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0722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osigurava suradnja Upravnog odjela s tijelima državne uprave, tijelima jedinica lokalne i područne (regionalne) samouprave i drugim institucijama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7911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040A7997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9BA" w14:paraId="22F31964" w14:textId="77777777" w:rsidTr="00E00D0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9A46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F4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C7B7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i druge poslove iz djelokruga rada upravnog odjela i poslove po nalogu Općinskog načelnika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A0E9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6555ADA2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9BA" w14:paraId="68932E23" w14:textId="77777777" w:rsidTr="00E00D0E">
        <w:trPr>
          <w:trHeight w:val="30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4A7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24C5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54D6" w14:textId="77777777" w:rsidR="000759BA" w:rsidRDefault="000759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6337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15DE9FA" w14:textId="77777777" w:rsidR="000759BA" w:rsidRDefault="000759BA"/>
    <w:p w14:paraId="3AE5FFED" w14:textId="77777777" w:rsidR="000759BA" w:rsidRDefault="000759BA">
      <w:pPr>
        <w:ind w:firstLine="708"/>
        <w:rPr>
          <w:sz w:val="20"/>
          <w:szCs w:val="20"/>
        </w:rPr>
      </w:pPr>
    </w:p>
    <w:p w14:paraId="2497F45A" w14:textId="77777777" w:rsidR="000759BA" w:rsidRDefault="000759BA">
      <w:pPr>
        <w:ind w:firstLine="708"/>
        <w:rPr>
          <w:sz w:val="20"/>
          <w:szCs w:val="20"/>
        </w:rPr>
      </w:pPr>
    </w:p>
    <w:p w14:paraId="7485DE95" w14:textId="77777777" w:rsidR="000759BA" w:rsidRDefault="000759BA">
      <w:pPr>
        <w:ind w:firstLine="708"/>
        <w:rPr>
          <w:sz w:val="20"/>
          <w:szCs w:val="20"/>
        </w:rPr>
      </w:pPr>
    </w:p>
    <w:p w14:paraId="4EB8FBAE" w14:textId="77777777" w:rsidR="000759BA" w:rsidRDefault="000759BA">
      <w:pPr>
        <w:ind w:firstLine="708"/>
        <w:rPr>
          <w:sz w:val="20"/>
          <w:szCs w:val="20"/>
        </w:rPr>
      </w:pPr>
    </w:p>
    <w:p w14:paraId="299C1E4D" w14:textId="77777777" w:rsidR="000759BA" w:rsidRDefault="000759BA">
      <w:pPr>
        <w:ind w:firstLine="708"/>
        <w:rPr>
          <w:sz w:val="20"/>
          <w:szCs w:val="20"/>
        </w:rPr>
      </w:pPr>
    </w:p>
    <w:tbl>
      <w:tblPr>
        <w:tblW w:w="1005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70"/>
        <w:gridCol w:w="2889"/>
        <w:gridCol w:w="1276"/>
        <w:gridCol w:w="1559"/>
        <w:gridCol w:w="850"/>
        <w:gridCol w:w="1451"/>
        <w:gridCol w:w="568"/>
        <w:gridCol w:w="691"/>
      </w:tblGrid>
      <w:tr w:rsidR="000759BA" w14:paraId="535EBB3E" w14:textId="77777777" w:rsidTr="00AE1E6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C83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14:paraId="5D0F94CD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55F0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F09AD61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radnog mjesta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03B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0BDA25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C12A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F4B4EAE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Potkategorija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508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394654A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6FE4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Klasifikacijski</w:t>
            </w:r>
          </w:p>
          <w:p w14:paraId="32177DE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AE9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14:paraId="55C0753E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Izvršitelja</w:t>
            </w:r>
          </w:p>
        </w:tc>
      </w:tr>
      <w:tr w:rsidR="000759BA" w14:paraId="17DEA8E5" w14:textId="77777777" w:rsidTr="00AE1E6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0CB1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4EDD3F8" w14:textId="77777777" w:rsidR="000759BA" w:rsidRDefault="0000000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99B3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6BA423D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upravni referent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12AD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2B53BA2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85F4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AC89BCA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referent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460F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14597B3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773C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2BFFE07" w14:textId="77777777" w:rsidR="000759BA" w:rsidRDefault="0000000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C73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D5EC5FF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759BA" w14:paraId="2F87CA8F" w14:textId="77777777" w:rsidTr="00AE1E64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2A30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5AD6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stručno znanje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70E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poslova radnog mjesta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2E8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759BA" w14:paraId="5266E92F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658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C5AB" w14:textId="77777777" w:rsidR="006008C7" w:rsidRPr="006008C7" w:rsidRDefault="00000000" w:rsidP="006008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2F00" w:rsidRPr="00952F00">
              <w:rPr>
                <w:sz w:val="20"/>
                <w:szCs w:val="20"/>
              </w:rPr>
              <w:t xml:space="preserve"> </w:t>
            </w:r>
            <w:r w:rsidR="006008C7" w:rsidRPr="006008C7">
              <w:rPr>
                <w:sz w:val="20"/>
                <w:szCs w:val="20"/>
              </w:rPr>
              <w:t>stručno znanje: sveučilišni prijediplomski studij ili stručni</w:t>
            </w:r>
          </w:p>
          <w:p w14:paraId="0776A301" w14:textId="586F56E8" w:rsidR="006008C7" w:rsidRPr="006008C7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 xml:space="preserve">prijediplomski studij ili stručni kratki studij </w:t>
            </w:r>
            <w:r w:rsidR="00EB78F5">
              <w:rPr>
                <w:sz w:val="20"/>
                <w:szCs w:val="20"/>
              </w:rPr>
              <w:t xml:space="preserve">pravne struke </w:t>
            </w:r>
            <w:r w:rsidRPr="006008C7">
              <w:rPr>
                <w:sz w:val="20"/>
                <w:szCs w:val="20"/>
              </w:rPr>
              <w:t>i najmanje</w:t>
            </w:r>
            <w:r w:rsidR="00EB78F5">
              <w:rPr>
                <w:sz w:val="20"/>
                <w:szCs w:val="20"/>
              </w:rPr>
              <w:t xml:space="preserve"> </w:t>
            </w:r>
            <w:r w:rsidRPr="006008C7">
              <w:rPr>
                <w:sz w:val="20"/>
                <w:szCs w:val="20"/>
              </w:rPr>
              <w:t>jedna godina radnog iskustva na odgovarajućim</w:t>
            </w:r>
          </w:p>
          <w:p w14:paraId="52E7704A" w14:textId="1901A476" w:rsidR="009E3CDE" w:rsidRPr="009E3CDE" w:rsidRDefault="006008C7" w:rsidP="009E3CDE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poslovima;</w:t>
            </w:r>
            <w:r w:rsidR="009E3CDE">
              <w:t xml:space="preserve"> </w:t>
            </w:r>
            <w:r w:rsidR="009E3CDE" w:rsidRPr="009E3CDE">
              <w:rPr>
                <w:sz w:val="20"/>
                <w:szCs w:val="20"/>
              </w:rPr>
              <w:t>na</w:t>
            </w:r>
            <w:r w:rsidR="00EB78F5">
              <w:rPr>
                <w:sz w:val="20"/>
                <w:szCs w:val="20"/>
              </w:rPr>
              <w:t xml:space="preserve"> </w:t>
            </w:r>
            <w:r w:rsidR="009E3CDE" w:rsidRPr="009E3CDE">
              <w:rPr>
                <w:sz w:val="20"/>
                <w:szCs w:val="20"/>
              </w:rPr>
              <w:t>radno mjesto višeg referenta može biti raspoređen, bez</w:t>
            </w:r>
            <w:r w:rsidR="00EB78F5">
              <w:rPr>
                <w:sz w:val="20"/>
                <w:szCs w:val="20"/>
              </w:rPr>
              <w:t xml:space="preserve"> </w:t>
            </w:r>
            <w:r w:rsidR="009E3CDE" w:rsidRPr="009E3CDE">
              <w:rPr>
                <w:sz w:val="20"/>
                <w:szCs w:val="20"/>
              </w:rPr>
              <w:t>obveze obavljanja vježbeničke prakse, službenik koji</w:t>
            </w:r>
            <w:r w:rsidR="00EB78F5">
              <w:rPr>
                <w:sz w:val="20"/>
                <w:szCs w:val="20"/>
              </w:rPr>
              <w:t xml:space="preserve"> </w:t>
            </w:r>
            <w:r w:rsidR="009E3CDE" w:rsidRPr="009E3CDE">
              <w:rPr>
                <w:sz w:val="20"/>
                <w:szCs w:val="20"/>
              </w:rPr>
              <w:t>tijekom službe završi sveučilišni prijediplomski studij ili</w:t>
            </w:r>
            <w:r w:rsidR="00EB78F5">
              <w:rPr>
                <w:sz w:val="20"/>
                <w:szCs w:val="20"/>
              </w:rPr>
              <w:t xml:space="preserve"> </w:t>
            </w:r>
            <w:r w:rsidR="009E3CDE" w:rsidRPr="009E3CDE">
              <w:rPr>
                <w:sz w:val="20"/>
                <w:szCs w:val="20"/>
              </w:rPr>
              <w:t>stručni prijediplomski studij ili stručni kratki studij ako ima</w:t>
            </w:r>
            <w:r w:rsidR="00EB78F5">
              <w:rPr>
                <w:sz w:val="20"/>
                <w:szCs w:val="20"/>
              </w:rPr>
              <w:t xml:space="preserve"> </w:t>
            </w:r>
            <w:r w:rsidR="009E3CDE" w:rsidRPr="009E3CDE">
              <w:rPr>
                <w:sz w:val="20"/>
                <w:szCs w:val="20"/>
              </w:rPr>
              <w:t>najmanje pet godina radnog iskustva u upravnim tijelima</w:t>
            </w:r>
          </w:p>
          <w:p w14:paraId="6D580719" w14:textId="18174642" w:rsidR="006008C7" w:rsidRPr="006008C7" w:rsidRDefault="009E3CDE" w:rsidP="009E3CDE">
            <w:pPr>
              <w:widowControl w:val="0"/>
              <w:rPr>
                <w:sz w:val="20"/>
                <w:szCs w:val="20"/>
              </w:rPr>
            </w:pPr>
            <w:r w:rsidRPr="009E3CDE">
              <w:rPr>
                <w:sz w:val="20"/>
                <w:szCs w:val="20"/>
              </w:rPr>
              <w:t>jedinica lokalne i područne (regionalne) samouprave</w:t>
            </w:r>
            <w:r w:rsidR="00AE1E64">
              <w:rPr>
                <w:sz w:val="20"/>
                <w:szCs w:val="20"/>
              </w:rPr>
              <w:t>;</w:t>
            </w:r>
          </w:p>
          <w:p w14:paraId="0E81CD71" w14:textId="77777777" w:rsidR="006008C7" w:rsidRPr="006008C7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- stupanj složenosti koji uključuje izričito određene</w:t>
            </w:r>
          </w:p>
          <w:p w14:paraId="24B33168" w14:textId="77777777" w:rsidR="006008C7" w:rsidRPr="006008C7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poslove koji zahtijevaju primjenu jednostavnijih i precizno</w:t>
            </w:r>
          </w:p>
          <w:p w14:paraId="097B35F5" w14:textId="77777777" w:rsidR="006008C7" w:rsidRPr="006008C7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utvrđenih postupaka, metoda rada i stručnih tehnika te</w:t>
            </w:r>
          </w:p>
          <w:p w14:paraId="56D19CF1" w14:textId="77777777" w:rsidR="006008C7" w:rsidRPr="006008C7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vođenje upravnog postupka i/ili rješavanje u</w:t>
            </w:r>
          </w:p>
          <w:p w14:paraId="427EB872" w14:textId="77777777" w:rsidR="006008C7" w:rsidRPr="006008C7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jednostavnijim upravnim stvarima iz nadležnosti upravnog</w:t>
            </w:r>
          </w:p>
          <w:p w14:paraId="3839E56D" w14:textId="77777777" w:rsidR="00727F92" w:rsidRDefault="006008C7" w:rsidP="006008C7">
            <w:pPr>
              <w:widowControl w:val="0"/>
              <w:rPr>
                <w:sz w:val="20"/>
                <w:szCs w:val="20"/>
              </w:rPr>
            </w:pPr>
            <w:r w:rsidRPr="006008C7">
              <w:rPr>
                <w:sz w:val="20"/>
                <w:szCs w:val="20"/>
              </w:rPr>
              <w:t>tijela;</w:t>
            </w:r>
          </w:p>
          <w:p w14:paraId="35D5F2BC" w14:textId="678A1AFA" w:rsidR="00952F00" w:rsidRPr="00952F00" w:rsidRDefault="00952F00" w:rsidP="006008C7">
            <w:pPr>
              <w:widowControl w:val="0"/>
              <w:rPr>
                <w:sz w:val="20"/>
                <w:szCs w:val="20"/>
              </w:rPr>
            </w:pPr>
            <w:r w:rsidRPr="00952F00">
              <w:rPr>
                <w:sz w:val="20"/>
                <w:szCs w:val="20"/>
              </w:rPr>
              <w:t>– stupanj samostalnosti koji uključuje redovan nadzor nadređenog službenika te njegove upute za rješavanje relativno složenih stručnih problema;</w:t>
            </w:r>
          </w:p>
          <w:p w14:paraId="6BCDE232" w14:textId="77777777" w:rsidR="00952F00" w:rsidRPr="00952F00" w:rsidRDefault="00952F00" w:rsidP="00952F00">
            <w:pPr>
              <w:widowControl w:val="0"/>
              <w:rPr>
                <w:sz w:val="20"/>
                <w:szCs w:val="20"/>
              </w:rPr>
            </w:pPr>
            <w:r w:rsidRPr="00952F00">
              <w:rPr>
                <w:sz w:val="20"/>
                <w:szCs w:val="20"/>
              </w:rPr>
              <w:t>– stupanj odgovornosti koji uključuje odgovornost za materijalne resurse s kojima službenik radi, te pravilnu primjenu propisanih postupaka, metoda rada i stručnih tehnika;</w:t>
            </w:r>
          </w:p>
          <w:p w14:paraId="54644201" w14:textId="546B9871" w:rsidR="00952F00" w:rsidRDefault="00952F00" w:rsidP="00952F00">
            <w:pPr>
              <w:widowControl w:val="0"/>
            </w:pPr>
            <w:r w:rsidRPr="00952F00">
              <w:rPr>
                <w:sz w:val="20"/>
                <w:szCs w:val="20"/>
              </w:rPr>
              <w:t>– stupanj stručnih komunikacija koji uključuje komunikaciju unutar nižih unutarnjih ustrojstvenih jedinica.</w:t>
            </w:r>
          </w:p>
          <w:p w14:paraId="1AEC5E84" w14:textId="5285A767" w:rsidR="000759BA" w:rsidRDefault="000759BA">
            <w:pPr>
              <w:widowControl w:val="0"/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B1C3" w14:textId="77777777" w:rsidR="000759BA" w:rsidRDefault="00000000">
            <w:pPr>
              <w:widowControl w:val="0"/>
            </w:pPr>
            <w:r>
              <w:rPr>
                <w:sz w:val="20"/>
                <w:szCs w:val="20"/>
              </w:rPr>
              <w:t xml:space="preserve">- vodi upravne postupke i rješava u upravnim stvarima u predmetima socijalne skrbi, legalizacije objekata – određivanje naknade za zadržavanje zgrada u prostoru, </w:t>
            </w:r>
          </w:p>
          <w:p w14:paraId="119A6E71" w14:textId="11FE13A8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upravni postupak do donošenja rješenja u predmetima komunalnog doprinosa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67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45AE9EF4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714C218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7E02D505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A171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3F12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944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poslove oko izrade, donošenja i provođenja dokumenata iz područja zaštite okoliša, zaštite od požara i dr.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1CE9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1A99168D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9BA" w14:paraId="61435080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AB1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51A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C740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prati izvršenje ugovora i predlaže po potrebi izmjene i dopune ugovora iz svog djelokruga,</w:t>
            </w:r>
          </w:p>
          <w:p w14:paraId="5708D62A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evidenciju sklopljenih ugovora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E31A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4E7107C1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6B066963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3316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C51B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8F39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u vezi pripreme, organizacije i obrade sjednica Općinskog vijeća i radnih tijela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65A1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0DDCCF39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2CF534B7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731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94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5440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sudjeluje u pripremi i izradi odluka i drugih akata koje donosi Općinsko vijeće i Općinski načelnik, te nacrta odluka i drugih akata i dr.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458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15B71D8C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759BA" w14:paraId="40930A3D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1470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33A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92E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prati i proučava propise iz svog područja djelovanja te predlaže poduzimanje mjera i donošenje akata iz svog djelokruga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3FF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1D7C31E6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6A15D68B" w14:textId="77777777" w:rsidTr="00AE1E64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9D26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B695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507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opće i kadrovske poslove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73F9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9BA" w14:paraId="07ECDAC5" w14:textId="77777777" w:rsidTr="00AE1E64">
        <w:trPr>
          <w:trHeight w:val="412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9073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295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9B2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rješava upravne i ostale predmete iz nadležnosti upravnog odjela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B03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2239078F" w14:textId="77777777" w:rsidTr="00AE1E64">
        <w:trPr>
          <w:trHeight w:val="327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187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4717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2F65" w14:textId="77777777" w:rsidR="000759BA" w:rsidRDefault="00000000">
            <w:pPr>
              <w:widowControl w:val="0"/>
            </w:pPr>
            <w:r>
              <w:rPr>
                <w:sz w:val="20"/>
                <w:szCs w:val="20"/>
              </w:rPr>
              <w:t>- obavlja informatičke poslove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2137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5C271EAF" w14:textId="77777777" w:rsidTr="00AE1E64">
        <w:trPr>
          <w:trHeight w:val="54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DB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91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3FD0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rješava druge pojedinačne predmete i obavlja druge poslove po nalogu Pročelnika i Općinskog načelnika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F4C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633DFD31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6A2A2BC7" w14:textId="77777777" w:rsidTr="00AE1E64">
        <w:trPr>
          <w:trHeight w:val="2245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044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E1B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CBC2" w14:textId="77777777" w:rsidR="000759BA" w:rsidRDefault="000759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885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EDE6A99" w14:textId="77777777" w:rsidR="000759BA" w:rsidRDefault="000759BA"/>
    <w:p w14:paraId="65AC72B4" w14:textId="77777777" w:rsidR="000759BA" w:rsidRDefault="000759BA">
      <w:pPr>
        <w:ind w:firstLine="708"/>
        <w:rPr>
          <w:sz w:val="20"/>
          <w:szCs w:val="20"/>
        </w:rPr>
      </w:pPr>
    </w:p>
    <w:p w14:paraId="23B95ECD" w14:textId="77777777" w:rsidR="000759BA" w:rsidRDefault="000759BA">
      <w:pPr>
        <w:ind w:firstLine="708"/>
        <w:rPr>
          <w:sz w:val="20"/>
          <w:szCs w:val="20"/>
        </w:rPr>
      </w:pPr>
    </w:p>
    <w:p w14:paraId="32A7ADDA" w14:textId="77777777" w:rsidR="000759BA" w:rsidRDefault="000759BA">
      <w:pPr>
        <w:rPr>
          <w:sz w:val="20"/>
          <w:szCs w:val="20"/>
        </w:rPr>
      </w:pPr>
    </w:p>
    <w:tbl>
      <w:tblPr>
        <w:tblW w:w="1005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70"/>
        <w:gridCol w:w="2747"/>
        <w:gridCol w:w="1042"/>
        <w:gridCol w:w="1620"/>
        <w:gridCol w:w="995"/>
        <w:gridCol w:w="1621"/>
        <w:gridCol w:w="568"/>
        <w:gridCol w:w="691"/>
      </w:tblGrid>
      <w:tr w:rsidR="000759BA" w14:paraId="3E4F0F43" w14:textId="77777777" w:rsidTr="009E3CD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550A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14:paraId="5E5C6075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410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6248171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radnog mjesta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BEC5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9514290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497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14C9C5F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Potkategorija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C858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26DBE05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AECA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Klasifikacijski</w:t>
            </w:r>
          </w:p>
          <w:p w14:paraId="75816794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DB3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14:paraId="5035E2EA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Izvršitelja</w:t>
            </w:r>
          </w:p>
        </w:tc>
      </w:tr>
      <w:tr w:rsidR="000759BA" w14:paraId="1568447C" w14:textId="77777777" w:rsidTr="009E3CD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63FD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54DDB44" w14:textId="77777777" w:rsidR="000759BA" w:rsidRDefault="0000000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15F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referent za financije i proračun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520B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C7E433E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3CC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DF51D84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referent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AF1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199BEF1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F0A6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3A30CFC" w14:textId="77777777" w:rsidR="000759BA" w:rsidRDefault="0000000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02FA" w14:textId="77777777" w:rsidR="000759BA" w:rsidRDefault="000759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01D0C29" w14:textId="77777777" w:rsidR="000759B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759BA" w14:paraId="3ABE65D7" w14:textId="77777777" w:rsidTr="009E3CDE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661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BCF5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stručno znanje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D50E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poslova radnog mjesta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997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759BA" w14:paraId="600DEB68" w14:textId="77777777" w:rsidTr="009E3CDE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6BB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20A" w14:textId="732586D5" w:rsidR="00F30040" w:rsidRPr="00F30040" w:rsidRDefault="00000000" w:rsidP="00F300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30040" w:rsidRPr="00F30040">
              <w:rPr>
                <w:sz w:val="20"/>
                <w:szCs w:val="20"/>
              </w:rPr>
              <w:t xml:space="preserve"> stručno znanje: sveučilišni prijediplomski studij ili stručni</w:t>
            </w:r>
          </w:p>
          <w:p w14:paraId="13F86BD6" w14:textId="2F493A65" w:rsidR="00F30040" w:rsidRPr="00F30040" w:rsidRDefault="00F30040" w:rsidP="00F30040">
            <w:pPr>
              <w:widowControl w:val="0"/>
              <w:rPr>
                <w:sz w:val="20"/>
                <w:szCs w:val="20"/>
              </w:rPr>
            </w:pPr>
            <w:r w:rsidRPr="00F30040">
              <w:rPr>
                <w:sz w:val="20"/>
                <w:szCs w:val="20"/>
              </w:rPr>
              <w:t>prijediplomski studij ili stručni kratki studij</w:t>
            </w:r>
            <w:r w:rsidR="00EB78F5">
              <w:rPr>
                <w:sz w:val="20"/>
                <w:szCs w:val="20"/>
              </w:rPr>
              <w:t xml:space="preserve"> ekonomske struke</w:t>
            </w:r>
            <w:r w:rsidRPr="00F30040">
              <w:rPr>
                <w:sz w:val="20"/>
                <w:szCs w:val="20"/>
              </w:rPr>
              <w:t xml:space="preserve"> i najmanje</w:t>
            </w:r>
            <w:r w:rsidR="00EB78F5">
              <w:rPr>
                <w:sz w:val="20"/>
                <w:szCs w:val="20"/>
              </w:rPr>
              <w:t xml:space="preserve"> </w:t>
            </w:r>
            <w:r w:rsidRPr="00F30040">
              <w:rPr>
                <w:sz w:val="20"/>
                <w:szCs w:val="20"/>
              </w:rPr>
              <w:t>jedna godina radnog iskustva na odgovarajućim</w:t>
            </w:r>
          </w:p>
          <w:p w14:paraId="22945E40" w14:textId="3C4DB1EE" w:rsidR="00266432" w:rsidRPr="00266432" w:rsidRDefault="00F30040" w:rsidP="00F30040">
            <w:pPr>
              <w:widowControl w:val="0"/>
              <w:rPr>
                <w:sz w:val="20"/>
                <w:szCs w:val="20"/>
              </w:rPr>
            </w:pPr>
            <w:r w:rsidRPr="00F30040">
              <w:rPr>
                <w:sz w:val="20"/>
                <w:szCs w:val="20"/>
              </w:rPr>
              <w:t>poslovima;</w:t>
            </w:r>
          </w:p>
          <w:p w14:paraId="6FA8A88F" w14:textId="4CC2720F" w:rsidR="00F30040" w:rsidRPr="00F30040" w:rsidRDefault="00266432" w:rsidP="00F30040">
            <w:pPr>
              <w:widowControl w:val="0"/>
              <w:rPr>
                <w:sz w:val="20"/>
                <w:szCs w:val="20"/>
              </w:rPr>
            </w:pPr>
            <w:r w:rsidRPr="00266432">
              <w:rPr>
                <w:sz w:val="20"/>
                <w:szCs w:val="20"/>
              </w:rPr>
              <w:t>-</w:t>
            </w:r>
            <w:r w:rsidR="00F30040" w:rsidRPr="00F30040">
              <w:rPr>
                <w:sz w:val="20"/>
                <w:szCs w:val="20"/>
              </w:rPr>
              <w:t xml:space="preserve"> stupanj složenosti koji</w:t>
            </w:r>
            <w:r w:rsidR="00EB78F5">
              <w:rPr>
                <w:sz w:val="20"/>
                <w:szCs w:val="20"/>
              </w:rPr>
              <w:t xml:space="preserve"> </w:t>
            </w:r>
            <w:r w:rsidR="00F30040" w:rsidRPr="00F30040">
              <w:rPr>
                <w:sz w:val="20"/>
                <w:szCs w:val="20"/>
              </w:rPr>
              <w:t>uključuje izričito određene</w:t>
            </w:r>
          </w:p>
          <w:p w14:paraId="7F90C033" w14:textId="25369D9C" w:rsidR="00F30040" w:rsidRDefault="00F30040" w:rsidP="00630150">
            <w:pPr>
              <w:widowControl w:val="0"/>
              <w:rPr>
                <w:sz w:val="20"/>
                <w:szCs w:val="20"/>
              </w:rPr>
            </w:pPr>
            <w:r w:rsidRPr="00F30040">
              <w:rPr>
                <w:sz w:val="20"/>
                <w:szCs w:val="20"/>
              </w:rPr>
              <w:t>poslove koji zahtijevaju primjenu jednostavnijih i precizno</w:t>
            </w:r>
            <w:r w:rsidR="00EB78F5">
              <w:rPr>
                <w:sz w:val="20"/>
                <w:szCs w:val="20"/>
              </w:rPr>
              <w:t xml:space="preserve"> </w:t>
            </w:r>
            <w:r w:rsidRPr="00F30040">
              <w:rPr>
                <w:sz w:val="20"/>
                <w:szCs w:val="20"/>
              </w:rPr>
              <w:t>utvrđenih postupaka, metoda rada</w:t>
            </w:r>
            <w:r w:rsidR="00630150">
              <w:rPr>
                <w:sz w:val="20"/>
                <w:szCs w:val="20"/>
              </w:rPr>
              <w:t>;</w:t>
            </w:r>
          </w:p>
          <w:p w14:paraId="17E42A69" w14:textId="3D083973" w:rsidR="00266432" w:rsidRPr="00266432" w:rsidRDefault="00266432" w:rsidP="00F30040">
            <w:pPr>
              <w:widowControl w:val="0"/>
              <w:rPr>
                <w:sz w:val="20"/>
                <w:szCs w:val="20"/>
              </w:rPr>
            </w:pPr>
            <w:r w:rsidRPr="00266432">
              <w:rPr>
                <w:sz w:val="20"/>
                <w:szCs w:val="20"/>
              </w:rPr>
              <w:t>– stupanj samostalnosti koji uključuje redovan nadzor nadređenog službenika te njegove upute za rješavanje relativno složenih stručnih problema;</w:t>
            </w:r>
          </w:p>
          <w:p w14:paraId="273BC28E" w14:textId="77777777" w:rsidR="00266432" w:rsidRPr="00266432" w:rsidRDefault="00266432" w:rsidP="00266432">
            <w:pPr>
              <w:widowControl w:val="0"/>
              <w:rPr>
                <w:sz w:val="20"/>
                <w:szCs w:val="20"/>
              </w:rPr>
            </w:pPr>
            <w:r w:rsidRPr="00266432">
              <w:rPr>
                <w:sz w:val="20"/>
                <w:szCs w:val="20"/>
              </w:rPr>
              <w:t>– stupanj odgovornosti koji uključuje odgovornost za materijalne resurse s kojima službenik radi, te pravilnu primjenu propisanih postupaka, metoda rada i stručnih tehnika;</w:t>
            </w:r>
          </w:p>
          <w:p w14:paraId="345004AB" w14:textId="3AA39535" w:rsidR="00266432" w:rsidRDefault="00266432" w:rsidP="00266432">
            <w:pPr>
              <w:widowControl w:val="0"/>
            </w:pPr>
            <w:r w:rsidRPr="00266432">
              <w:rPr>
                <w:sz w:val="20"/>
                <w:szCs w:val="20"/>
              </w:rPr>
              <w:t>– stupanj stručnih komunikacija koji uključuje komunikaciju unutar nižih unutarnjih ustrojstvenih jedinica.</w:t>
            </w:r>
          </w:p>
          <w:p w14:paraId="24730EFF" w14:textId="7092714E" w:rsidR="000759BA" w:rsidRDefault="000759BA">
            <w:pPr>
              <w:widowControl w:val="0"/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4F1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izrađuje nacrt proračuna za proračunsku godinu i projekciju za slijedeće dvije godine, odluku o izvršavanju proračuna i plan razvojnih programa, polugodišnji i godišnji izvještaj o izvršenju proračuna, statističke izvještaje i izvješća o ostvarenju proračuna,</w:t>
            </w:r>
          </w:p>
          <w:p w14:paraId="10174642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temeljem smjernica izrađuje upute za izradu proračuna proračunskih korisnika, </w:t>
            </w:r>
          </w:p>
          <w:p w14:paraId="67EF0A3F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planiranja i praćenja likvidnosti proračuna i kontrole izvršavanja proračuna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C89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4EACF1F4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CB03D7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5F4605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759BA" w14:paraId="19D6658A" w14:textId="77777777" w:rsidTr="009E3CDE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DA76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A700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571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odgovara za kompletnost i zakonitost financijske dokumentacije,</w:t>
            </w:r>
          </w:p>
          <w:p w14:paraId="76FFFCBD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financijsko knjigovodstvo proračuna i imovine,</w:t>
            </w:r>
          </w:p>
          <w:p w14:paraId="558FE3CF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obavlja knjiženja poslovnih promjena u proračunu,</w:t>
            </w:r>
          </w:p>
          <w:p w14:paraId="0C23590A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vodi brigu o pravovremenoj naplati prihoda te predlaže otpise potraživanja, </w:t>
            </w:r>
          </w:p>
          <w:p w14:paraId="431B8A22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brigu o pravovremenom plaćanju općinskih financijskih obveza,</w:t>
            </w:r>
          </w:p>
          <w:p w14:paraId="128F085B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kontrolira knjigovodstvene isprave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1E9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002D39A0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086885" w14:textId="77777777" w:rsidR="000759BA" w:rsidRDefault="000759B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79E9566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759BA" w14:paraId="5D789489" w14:textId="77777777" w:rsidTr="009E3CDE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FC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595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21E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obavlja poslove obračuna i isplata plaća i drugih primanja zaposlenika općine, </w:t>
            </w:r>
          </w:p>
          <w:p w14:paraId="74CC9C55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obračune i isplate naknada te o istima vodi evidenciju,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500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6A47BF08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1CDDF252" w14:textId="77777777" w:rsidTr="009E3CDE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248E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6528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5E4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vodi evidenciju knjige ulaznih i izlaznih računa, </w:t>
            </w:r>
          </w:p>
          <w:p w14:paraId="5A7A74CF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kontiranja prihoda i rashoda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FFE5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7A68ADBC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004EFBD4" w14:textId="77777777" w:rsidTr="009E3CDE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F25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5A3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D16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prisustvuje sjednicama Općinskog vijeća i njihovih radnih tijela te po potrebi daje tumačenja i obrazloženja iz svog djelokruga rada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DF0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59BA" w14:paraId="4A84AC23" w14:textId="77777777" w:rsidTr="009E3CDE">
        <w:trPr>
          <w:trHeight w:val="34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D1C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F4BF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911" w14:textId="77777777" w:rsidR="000759B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druge knjigovodstvene poslove po nalogu Pročelnika i Općinskog načelnika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374F" w14:textId="77777777" w:rsidR="000759B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9BA" w14:paraId="2D263304" w14:textId="77777777" w:rsidTr="009E3CDE">
        <w:trPr>
          <w:trHeight w:val="287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DC5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D59" w14:textId="77777777" w:rsidR="000759BA" w:rsidRDefault="000759B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6EA" w14:textId="77777777" w:rsidR="000759BA" w:rsidRDefault="000759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B51" w14:textId="77777777" w:rsidR="000759BA" w:rsidRDefault="000759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D7FE9F6" w14:textId="77777777" w:rsidR="000759BA" w:rsidRDefault="000759BA">
      <w:pPr>
        <w:rPr>
          <w:sz w:val="20"/>
          <w:szCs w:val="20"/>
        </w:rPr>
      </w:pPr>
    </w:p>
    <w:p w14:paraId="1F3F3D1D" w14:textId="77777777" w:rsidR="000759BA" w:rsidRDefault="000759BA">
      <w:pPr>
        <w:ind w:firstLine="708"/>
        <w:rPr>
          <w:sz w:val="20"/>
          <w:szCs w:val="20"/>
        </w:rPr>
      </w:pPr>
    </w:p>
    <w:p w14:paraId="58184498" w14:textId="77777777" w:rsidR="000759BA" w:rsidRDefault="000759BA">
      <w:pPr>
        <w:ind w:firstLine="708"/>
        <w:rPr>
          <w:sz w:val="20"/>
          <w:szCs w:val="20"/>
        </w:rPr>
      </w:pPr>
    </w:p>
    <w:p w14:paraId="6DA1E781" w14:textId="77777777" w:rsidR="000759BA" w:rsidRDefault="000759BA">
      <w:pPr>
        <w:ind w:firstLine="708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5274"/>
        <w:tblW w:w="10637" w:type="dxa"/>
        <w:tblLayout w:type="fixed"/>
        <w:tblLook w:val="0000" w:firstRow="0" w:lastRow="0" w:firstColumn="0" w:lastColumn="0" w:noHBand="0" w:noVBand="0"/>
      </w:tblPr>
      <w:tblGrid>
        <w:gridCol w:w="550"/>
        <w:gridCol w:w="3059"/>
        <w:gridCol w:w="908"/>
        <w:gridCol w:w="1558"/>
        <w:gridCol w:w="709"/>
        <w:gridCol w:w="2549"/>
        <w:gridCol w:w="684"/>
        <w:gridCol w:w="620"/>
      </w:tblGrid>
      <w:tr w:rsidR="00727F92" w14:paraId="1733329A" w14:textId="77777777" w:rsidTr="00727F92">
        <w:trPr>
          <w:trHeight w:val="3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604A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lastRenderedPageBreak/>
              <w:t>Red. broj</w:t>
            </w:r>
          </w:p>
          <w:p w14:paraId="1C7DCA5B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8C5E0" w14:textId="77777777" w:rsidR="00727F92" w:rsidRDefault="00727F92" w:rsidP="00727F92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Naziv radnog mjesta</w:t>
            </w:r>
          </w:p>
          <w:p w14:paraId="515BDA6C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35FA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Kategorija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A25F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D539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Razina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ED2F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Klasifikacijski</w:t>
            </w:r>
          </w:p>
          <w:p w14:paraId="14F6F91F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D3F4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Broj izvršitelja</w:t>
            </w:r>
          </w:p>
        </w:tc>
      </w:tr>
      <w:tr w:rsidR="00727F92" w14:paraId="25132D4B" w14:textId="77777777" w:rsidTr="00727F92">
        <w:trPr>
          <w:trHeight w:val="2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F432" w14:textId="07FE8F8F" w:rsidR="00727F92" w:rsidRDefault="00481640" w:rsidP="00727F92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27F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E920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Komunalni redar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24A1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EA37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Referent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FC85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7188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2196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</w:tr>
      <w:tr w:rsidR="00727F92" w14:paraId="349AF6D9" w14:textId="77777777" w:rsidTr="00727F92">
        <w:trPr>
          <w:trHeight w:val="35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59C1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3434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Standardna mjerila za radno mjesto su: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88BA" w14:textId="77777777" w:rsidR="00727F92" w:rsidRDefault="00727F92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Opis poslova radnog mjesta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F9C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%</w:t>
            </w:r>
          </w:p>
        </w:tc>
      </w:tr>
      <w:tr w:rsidR="00727F92" w14:paraId="632DDD95" w14:textId="77777777" w:rsidTr="00727F92">
        <w:trPr>
          <w:trHeight w:val="30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BEFF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0025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otrebno stručno znanje: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srednja stručna sprema,</w:t>
            </w:r>
          </w:p>
          <w:p w14:paraId="5D6A7E88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najmanje jedna godina radnog, iskustva na odgovarajućim poslovima,</w:t>
            </w:r>
          </w:p>
          <w:p w14:paraId="5985013E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položen državni stručni ispit,</w:t>
            </w:r>
          </w:p>
          <w:p w14:paraId="5E8D9F8F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vozačka dozvola B kategorije,</w:t>
            </w:r>
          </w:p>
          <w:p w14:paraId="7A2F0A56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složenost poslova:  stupanj složenosti koji uključuje jednostavne i uglavnom rutinske poslove koji zahtijevaju primjenu precizno utvrđenih postupaka, metoda rada i stručnih tehnika,</w:t>
            </w:r>
          </w:p>
          <w:p w14:paraId="79AC79D4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samostalnost u radu: stupanj samostalnosti koji uključuje stalni nadzor i upute nadređenog</w:t>
            </w:r>
          </w:p>
          <w:p w14:paraId="68CAAC21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službenika,</w:t>
            </w:r>
          </w:p>
          <w:p w14:paraId="423A6067" w14:textId="77777777" w:rsidR="00727F92" w:rsidRDefault="00727F92" w:rsidP="00727F92">
            <w:pPr>
              <w:pStyle w:val="Bezproreda"/>
              <w:widowControl w:val="0"/>
              <w:ind w:left="29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-stupanj odgovornosti i utjecaj na donošenje odluka: stupanj odgovornosti koji uključuje</w:t>
            </w:r>
          </w:p>
          <w:p w14:paraId="54913745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odgovornost za materijalne resurse s kojima službenik radi te pravilnu primjenu izričito propisanih postupaka, metoda rada i stručnih tehnika.</w:t>
            </w:r>
          </w:p>
          <w:p w14:paraId="62022276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-stupanj stručnih komunikacija koji uključuje kontakte unutar nižih unutarnjih ustrojstvenih jedinica upravnoga tijela.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541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nadzire provođenje odluka i drugih akata iz oblasti komunalnog gospodarstva, nadzire rad poslovnih subjekata koji obavljaju komunalne djelatnosti, izrađuje zapisnike o nadzoru, opomene, rješenja i dr.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FCE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30</w:t>
            </w:r>
          </w:p>
        </w:tc>
      </w:tr>
      <w:tr w:rsidR="00727F92" w14:paraId="446306CE" w14:textId="77777777" w:rsidTr="00727F92">
        <w:trPr>
          <w:trHeight w:val="2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7E9C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0C93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E71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izriče komunalne kazne i predlaže pokretanje prekršajnog postupka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320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</w:tr>
      <w:tr w:rsidR="00727F92" w14:paraId="35692456" w14:textId="77777777" w:rsidTr="00727F92">
        <w:trPr>
          <w:trHeight w:val="21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10F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B638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5DE7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vodi brigu o komunalnim objektima, općinskim objektima, uređenju naselja, kvaliteti stanovanja u Općini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65C5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</w:tr>
      <w:tr w:rsidR="00727F92" w14:paraId="409E0A66" w14:textId="77777777" w:rsidTr="00727F92">
        <w:trPr>
          <w:trHeight w:val="31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D50E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3D73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2391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vrši dostavu upućenih akata, informativnih letaka (glasnika) i dokumentacije prema kućanstvima i građanima na području Općine, temeljem uočenog stanja predlaže odluke i mjere u cilju unapređenja života stanovnika Općine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53C1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</w:tr>
      <w:tr w:rsidR="00727F92" w14:paraId="50685021" w14:textId="77777777" w:rsidTr="00727F92">
        <w:trPr>
          <w:trHeight w:val="339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B7E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4B7D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C0E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evidencija i izdavanje računa za komunalnu i grobnu naknadu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DEC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</w:tr>
      <w:tr w:rsidR="00727F92" w14:paraId="62AAF69B" w14:textId="77777777" w:rsidTr="00727F92">
        <w:trPr>
          <w:trHeight w:val="28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112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CA2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9EAD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vođenje grobnih očevidnika i drugih evidencija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14EF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</w:tr>
      <w:tr w:rsidR="00727F92" w14:paraId="18C37479" w14:textId="77777777" w:rsidTr="00727F92">
        <w:trPr>
          <w:trHeight w:val="173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73B8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4AC4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EA6A" w14:textId="77777777" w:rsidR="00727F92" w:rsidRDefault="00727F92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obavlja i druge srodne poslove po nalogu Pročelnika i Općinskog načelnika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BA9A" w14:textId="77777777" w:rsidR="00727F92" w:rsidRDefault="00727F92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</w:tr>
    </w:tbl>
    <w:p w14:paraId="773B43CF" w14:textId="77777777" w:rsidR="000759BA" w:rsidRDefault="000759BA">
      <w:pPr>
        <w:ind w:firstLine="708"/>
        <w:rPr>
          <w:sz w:val="20"/>
          <w:szCs w:val="20"/>
        </w:rPr>
      </w:pPr>
    </w:p>
    <w:p w14:paraId="37A562FF" w14:textId="77777777" w:rsidR="000759BA" w:rsidRDefault="000759BA">
      <w:pPr>
        <w:ind w:firstLine="708"/>
        <w:rPr>
          <w:sz w:val="20"/>
          <w:szCs w:val="20"/>
        </w:rPr>
      </w:pPr>
    </w:p>
    <w:p w14:paraId="5ED3A1C8" w14:textId="77777777" w:rsidR="000759BA" w:rsidRDefault="000759BA">
      <w:pPr>
        <w:ind w:firstLine="708"/>
        <w:rPr>
          <w:sz w:val="20"/>
          <w:szCs w:val="20"/>
        </w:rPr>
      </w:pPr>
    </w:p>
    <w:p w14:paraId="77F26AFE" w14:textId="77777777" w:rsidR="000759BA" w:rsidRDefault="000759BA">
      <w:pPr>
        <w:ind w:firstLine="708"/>
        <w:rPr>
          <w:sz w:val="20"/>
          <w:szCs w:val="20"/>
        </w:rPr>
      </w:pPr>
    </w:p>
    <w:p w14:paraId="25CAE9EA" w14:textId="77777777" w:rsidR="00727F92" w:rsidRDefault="00727F92">
      <w:pPr>
        <w:rPr>
          <w:b/>
          <w:bCs/>
        </w:rPr>
      </w:pPr>
    </w:p>
    <w:p w14:paraId="6551BB6C" w14:textId="77777777" w:rsidR="00727F92" w:rsidRDefault="00727F92">
      <w:pPr>
        <w:rPr>
          <w:b/>
          <w:bCs/>
        </w:rPr>
      </w:pPr>
    </w:p>
    <w:p w14:paraId="2FC7A492" w14:textId="77777777" w:rsidR="00727F92" w:rsidRDefault="00727F92">
      <w:pPr>
        <w:rPr>
          <w:b/>
          <w:bCs/>
        </w:rPr>
      </w:pPr>
    </w:p>
    <w:tbl>
      <w:tblPr>
        <w:tblpPr w:leftFromText="180" w:rightFromText="180" w:vertAnchor="page" w:horzAnchor="margin" w:tblpXSpec="center" w:tblpY="871"/>
        <w:tblOverlap w:val="never"/>
        <w:tblW w:w="10608" w:type="dxa"/>
        <w:tblLayout w:type="fixed"/>
        <w:tblLook w:val="0000" w:firstRow="0" w:lastRow="0" w:firstColumn="0" w:lastColumn="0" w:noHBand="0" w:noVBand="0"/>
      </w:tblPr>
      <w:tblGrid>
        <w:gridCol w:w="563"/>
        <w:gridCol w:w="3117"/>
        <w:gridCol w:w="709"/>
        <w:gridCol w:w="1559"/>
        <w:gridCol w:w="709"/>
        <w:gridCol w:w="2551"/>
        <w:gridCol w:w="851"/>
        <w:gridCol w:w="549"/>
      </w:tblGrid>
      <w:tr w:rsidR="00A362B4" w14:paraId="5CEF9822" w14:textId="77777777" w:rsidTr="00A362B4">
        <w:trPr>
          <w:trHeight w:val="3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C940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Red. broj</w:t>
            </w:r>
          </w:p>
          <w:p w14:paraId="6C717929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1FCB9" w14:textId="77777777" w:rsidR="00A362B4" w:rsidRDefault="00A362B4" w:rsidP="00A362B4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Naziv radnog mjesta</w:t>
            </w:r>
          </w:p>
          <w:p w14:paraId="76893586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3A3D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E0A5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368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Razina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B1FA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Klasifikacijski</w:t>
            </w:r>
          </w:p>
          <w:p w14:paraId="51B18B73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D7F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Broj izvršitelja</w:t>
            </w:r>
          </w:p>
        </w:tc>
      </w:tr>
      <w:tr w:rsidR="00A362B4" w14:paraId="2CBEFAAA" w14:textId="77777777" w:rsidTr="00A362B4">
        <w:trPr>
          <w:trHeight w:val="2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36A0" w14:textId="6DE2733F" w:rsidR="00A362B4" w:rsidRDefault="00481640" w:rsidP="00A362B4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362B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9601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Administrativni tajnik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8432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5838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Referent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1EF6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62D6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90AD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</w:tr>
      <w:tr w:rsidR="00A362B4" w14:paraId="752776EE" w14:textId="77777777" w:rsidTr="00A362B4">
        <w:trPr>
          <w:trHeight w:val="35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FFA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99F4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Potrebno stručno znanje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0135" w14:textId="77777777" w:rsidR="00A362B4" w:rsidRDefault="00A362B4" w:rsidP="00A362B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Opis poslova radnog mjesta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0062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%</w:t>
            </w:r>
          </w:p>
        </w:tc>
      </w:tr>
      <w:tr w:rsidR="00A362B4" w14:paraId="75C7C63E" w14:textId="77777777" w:rsidTr="00A362B4">
        <w:trPr>
          <w:trHeight w:val="30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85AC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8AD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srednja stručna sprema upravne ili ekonomske struke,</w:t>
            </w:r>
          </w:p>
          <w:p w14:paraId="68D7B098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najmanje jedna godina radnog iskustva na odgovarajućim poslovima,                - poznavanje rada na računalu,</w:t>
            </w:r>
          </w:p>
          <w:p w14:paraId="359E98B4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stupanj složenosti koji uključuje jednostavne i uglavnom rutinske poslove koji zahtijevaju primjenu precizno utvrđenih postupaka, metoda rada i stručnih tehnika,</w:t>
            </w:r>
          </w:p>
          <w:p w14:paraId="2054F0EF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stupanj samostalnosti koji uključuje stalni nadzor i upute nadređenog službenika,</w:t>
            </w:r>
          </w:p>
          <w:p w14:paraId="75ABB57F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stupanj odgovornosti koji uključuje odgovornost za materijalne resurse s kojima službenik radi te pravilnu primjenu izričito propisanih postupaka, metoda rada i stručnih tehnika,</w:t>
            </w:r>
          </w:p>
          <w:p w14:paraId="575EBD93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stupanj stručnih komunikacija koji uključuje kontakte unutar nižih unutarnjih ustrojstvenih jedinica upravnoga tijela.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94BB" w14:textId="77777777" w:rsidR="00A362B4" w:rsidRDefault="00A362B4" w:rsidP="00A362B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vodi prijemni ured (pisarnicu) Jedinstvenog upravnog odjela i Općine, obavlja administrativne i druge poslove iz djelokruga JUO koji se odnose na tehničku pripremu materijala te obavljanje poslova za Općinsko vijeće, Općinskog načelnika i Jedinstveni upravni odjel (prijem stranaka, poruke, obavijesti, očitovanja i sl.)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AC17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25</w:t>
            </w:r>
          </w:p>
        </w:tc>
      </w:tr>
      <w:tr w:rsidR="00A362B4" w14:paraId="07F3F779" w14:textId="77777777" w:rsidTr="00A362B4">
        <w:trPr>
          <w:trHeight w:val="27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3B34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4F9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F4E" w14:textId="77777777" w:rsidR="00A362B4" w:rsidRDefault="00A362B4" w:rsidP="00A362B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izvršava akte Općinskog vijeća i Općinskog načelnika iz djelokruga svog radnog mjesta, prati propise iz nadležnosti JUO koji se odnose na opće i upravne poslove, stara se o nabavi uredskog i ostalog potrošnog materijala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E13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25</w:t>
            </w:r>
          </w:p>
        </w:tc>
      </w:tr>
      <w:tr w:rsidR="00A362B4" w14:paraId="653E537E" w14:textId="77777777" w:rsidTr="00A362B4">
        <w:trPr>
          <w:trHeight w:val="21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84E5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17EA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3DD" w14:textId="77777777" w:rsidR="00A362B4" w:rsidRDefault="00A362B4" w:rsidP="00A362B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- vrši prijepis akata, fotokopiranje te obavlja ostale administrativne poslove po potrebi za Općinsko vijeća i odbore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868B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</w:tr>
      <w:tr w:rsidR="00A362B4" w14:paraId="1D37C1AA" w14:textId="77777777" w:rsidTr="00A362B4">
        <w:trPr>
          <w:trHeight w:val="31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02D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B4D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415B" w14:textId="77777777" w:rsidR="00A362B4" w:rsidRDefault="00A362B4" w:rsidP="00A362B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sudjeluje u poslovima arhiviranja akata Općine (sortira, odlaže i čuva dokumentaciju)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55F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</w:tr>
      <w:tr w:rsidR="00A362B4" w14:paraId="2CCE992B" w14:textId="77777777" w:rsidTr="00A362B4">
        <w:trPr>
          <w:trHeight w:val="173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5A6A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589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7A85" w14:textId="77777777" w:rsidR="00A362B4" w:rsidRDefault="00A362B4" w:rsidP="00A362B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 zaprima, pregledava, razvrstava i otprema poštu, vodi potrebne evidencije, urudžbeni zapisnik te obavlja i druge srodne poslove po nalogu Pročelnika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A4F" w14:textId="77777777" w:rsidR="00A362B4" w:rsidRDefault="00A362B4" w:rsidP="00A362B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</w:tr>
    </w:tbl>
    <w:p w14:paraId="629D9B03" w14:textId="77777777" w:rsidR="00727F92" w:rsidRDefault="00727F92">
      <w:pPr>
        <w:rPr>
          <w:b/>
          <w:bCs/>
        </w:rPr>
      </w:pPr>
    </w:p>
    <w:p w14:paraId="586934E3" w14:textId="77777777" w:rsidR="00727F92" w:rsidRDefault="00727F92">
      <w:pPr>
        <w:rPr>
          <w:b/>
          <w:bCs/>
        </w:rPr>
      </w:pPr>
    </w:p>
    <w:p w14:paraId="204EC965" w14:textId="77777777" w:rsidR="00727F92" w:rsidRDefault="00727F92">
      <w:pPr>
        <w:rPr>
          <w:b/>
          <w:bCs/>
        </w:rPr>
      </w:pPr>
    </w:p>
    <w:p w14:paraId="1A78F5A4" w14:textId="77777777" w:rsidR="00727F92" w:rsidRDefault="00727F92">
      <w:pPr>
        <w:rPr>
          <w:b/>
          <w:bCs/>
        </w:rPr>
      </w:pPr>
    </w:p>
    <w:p w14:paraId="647B0A89" w14:textId="77777777" w:rsidR="00727F92" w:rsidRDefault="00727F92">
      <w:pPr>
        <w:rPr>
          <w:b/>
          <w:bCs/>
        </w:rPr>
      </w:pPr>
    </w:p>
    <w:p w14:paraId="1EFD02F0" w14:textId="77777777" w:rsidR="00727F92" w:rsidRDefault="00727F92">
      <w:pPr>
        <w:rPr>
          <w:b/>
          <w:bCs/>
        </w:rPr>
      </w:pPr>
    </w:p>
    <w:p w14:paraId="52AC39DE" w14:textId="77777777" w:rsidR="00727F92" w:rsidRDefault="00727F92">
      <w:pPr>
        <w:rPr>
          <w:b/>
          <w:bCs/>
        </w:rPr>
      </w:pPr>
    </w:p>
    <w:p w14:paraId="6BC45B82" w14:textId="77777777" w:rsidR="00727F92" w:rsidRDefault="00727F92">
      <w:pPr>
        <w:rPr>
          <w:b/>
          <w:bCs/>
        </w:rPr>
      </w:pPr>
    </w:p>
    <w:p w14:paraId="3F198BA4" w14:textId="77777777" w:rsidR="00727F92" w:rsidRDefault="00727F92">
      <w:pPr>
        <w:rPr>
          <w:b/>
          <w:bCs/>
        </w:rPr>
      </w:pPr>
    </w:p>
    <w:p w14:paraId="23B59DD8" w14:textId="77777777" w:rsidR="00727F92" w:rsidRDefault="00727F92">
      <w:pPr>
        <w:rPr>
          <w:b/>
          <w:bCs/>
        </w:rPr>
      </w:pPr>
    </w:p>
    <w:tbl>
      <w:tblPr>
        <w:tblpPr w:leftFromText="180" w:rightFromText="180" w:vertAnchor="page" w:horzAnchor="margin" w:tblpXSpec="center" w:tblpY="4332"/>
        <w:tblW w:w="10608" w:type="dxa"/>
        <w:tblLayout w:type="fixed"/>
        <w:tblLook w:val="0000" w:firstRow="0" w:lastRow="0" w:firstColumn="0" w:lastColumn="0" w:noHBand="0" w:noVBand="0"/>
      </w:tblPr>
      <w:tblGrid>
        <w:gridCol w:w="705"/>
        <w:gridCol w:w="2974"/>
        <w:gridCol w:w="710"/>
        <w:gridCol w:w="1559"/>
        <w:gridCol w:w="709"/>
        <w:gridCol w:w="2551"/>
        <w:gridCol w:w="851"/>
        <w:gridCol w:w="549"/>
      </w:tblGrid>
      <w:tr w:rsidR="000759BA" w:rsidRPr="005D6F8F" w14:paraId="61E3F9AC" w14:textId="77777777" w:rsidTr="00727F92">
        <w:trPr>
          <w:trHeight w:val="3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7DFE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Red. broj</w:t>
            </w:r>
          </w:p>
          <w:p w14:paraId="2A2E5091" w14:textId="77777777" w:rsidR="000759BA" w:rsidRPr="005D6F8F" w:rsidRDefault="000759BA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5959B" w14:textId="77777777" w:rsidR="000759BA" w:rsidRPr="005D6F8F" w:rsidRDefault="00000000" w:rsidP="00727F92">
            <w:pPr>
              <w:widowControl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5D6F8F">
              <w:rPr>
                <w:b/>
                <w:sz w:val="20"/>
                <w:szCs w:val="20"/>
                <w:lang w:eastAsia="hr-HR"/>
              </w:rPr>
              <w:t>Naziv radnog mjesta</w:t>
            </w:r>
          </w:p>
          <w:p w14:paraId="15D9275D" w14:textId="77777777" w:rsidR="000759BA" w:rsidRPr="005D6F8F" w:rsidRDefault="000759BA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DC46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39D3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5009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30D3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Klasifikacijski</w:t>
            </w:r>
          </w:p>
          <w:p w14:paraId="56CDFA66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FC8A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 izvršitelja</w:t>
            </w:r>
          </w:p>
        </w:tc>
      </w:tr>
      <w:tr w:rsidR="000759BA" w:rsidRPr="005D6F8F" w14:paraId="13699F45" w14:textId="77777777" w:rsidTr="00727F92">
        <w:trPr>
          <w:trHeight w:val="2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1687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E0C2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Viši referent/</w:t>
            </w:r>
            <w:proofErr w:type="spellStart"/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ica</w:t>
            </w:r>
            <w:proofErr w:type="spellEnd"/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voditelj/</w:t>
            </w:r>
            <w:proofErr w:type="spellStart"/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ica</w:t>
            </w:r>
            <w:proofErr w:type="spellEnd"/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304C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9879" w14:textId="20205D35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iši referent/</w:t>
            </w:r>
            <w:proofErr w:type="spellStart"/>
            <w:r w:rsidR="00CD1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0AAA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D1C8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BE13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0759BA" w:rsidRPr="005D6F8F" w14:paraId="213AA8B7" w14:textId="77777777" w:rsidTr="00727F92">
        <w:trPr>
          <w:trHeight w:val="35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EAA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3D3B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Potrebno stručno znanje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C260" w14:textId="77777777" w:rsidR="000759BA" w:rsidRPr="005D6F8F" w:rsidRDefault="00000000" w:rsidP="00727F92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Opis poslova radnog mjesta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A5A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0759BA" w:rsidRPr="005D6F8F" w14:paraId="76AEC8B9" w14:textId="77777777" w:rsidTr="00727F92">
        <w:trPr>
          <w:trHeight w:val="30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3E6F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CE1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 xml:space="preserve">  stručno znanje: sveučilišni prvostupnik struke ili stručni prvostupnik struke i najmanje jedna godina radnog iskustva na odgovarajućim poslovima,</w:t>
            </w:r>
          </w:p>
          <w:p w14:paraId="14A1E470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složenosti koji uključuje izričito određene poslove koji zahtijevaju primjenu jednostavnijih i precizno utvrđenih postupaka, metoda rada i stručnih tehnika,</w:t>
            </w:r>
          </w:p>
          <w:p w14:paraId="21C56838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samostalnosti koji uključuje redovan nadzor nadređenog službenika te njegove upute za rješavanje relativno složenih stručnih problema,</w:t>
            </w:r>
          </w:p>
          <w:p w14:paraId="2D3BE36B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odgovornosti koji uključuje odgovornost za materijalne resurse s kojima službenik radi te pravilnu primjenu propisanih postupaka, metoda rada i stručnih tehnika,</w:t>
            </w:r>
          </w:p>
          <w:p w14:paraId="6D9046C0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stručnih komunikacija koji uključuje komunikaciju unutar nižih unutarnjih ustrojstvenih jedinica.</w:t>
            </w: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2D82" w14:textId="77777777" w:rsidR="000759BA" w:rsidRPr="005D6F8F" w:rsidRDefault="00000000" w:rsidP="00727F92">
            <w:pPr>
              <w:pStyle w:val="Bezprored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provodi cjelokupni projekt sa realizacijom svih aktivnosti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482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0759BA" w:rsidRPr="005D6F8F" w14:paraId="46627522" w14:textId="77777777" w:rsidTr="00727F92">
        <w:trPr>
          <w:trHeight w:val="27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57D2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DB71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B2F" w14:textId="77777777" w:rsidR="000759BA" w:rsidRPr="005D6F8F" w:rsidRDefault="00000000" w:rsidP="00727F92">
            <w:pPr>
              <w:pStyle w:val="Bezprored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vodi administraciju i organizaciju sastanaka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ABC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0759BA" w:rsidRPr="005D6F8F" w14:paraId="09C414F1" w14:textId="77777777" w:rsidTr="00727F92">
        <w:trPr>
          <w:trHeight w:val="21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767D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AC8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E8A" w14:textId="77777777" w:rsidR="000759BA" w:rsidRPr="005D6F8F" w:rsidRDefault="00000000" w:rsidP="00727F92">
            <w:pPr>
              <w:pStyle w:val="Bezprored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sastavljanje narativnih i financijskih izvještaja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8C7B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0759BA" w:rsidRPr="005D6F8F" w14:paraId="78C1D097" w14:textId="77777777" w:rsidTr="00727F92">
        <w:trPr>
          <w:trHeight w:val="31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1540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1ED4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780A" w14:textId="77777777" w:rsidR="000759BA" w:rsidRPr="005D6F8F" w:rsidRDefault="00000000" w:rsidP="00727F92">
            <w:pPr>
              <w:pStyle w:val="Bezprored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surađuje s partnerima i animira sve dionike projekta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0D59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0759BA" w:rsidRPr="005D6F8F" w14:paraId="12BE099F" w14:textId="77777777" w:rsidTr="00727F92">
        <w:trPr>
          <w:trHeight w:val="173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3913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06F" w14:textId="77777777" w:rsidR="000759BA" w:rsidRPr="005D6F8F" w:rsidRDefault="000759BA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6B2" w14:textId="77777777" w:rsidR="000759BA" w:rsidRPr="005D6F8F" w:rsidRDefault="00000000" w:rsidP="00727F92">
            <w:pPr>
              <w:pStyle w:val="Odlomakpopisa"/>
              <w:widowControl w:val="0"/>
              <w:numPr>
                <w:ilvl w:val="0"/>
                <w:numId w:val="2"/>
              </w:numPr>
              <w:jc w:val="both"/>
            </w:pPr>
            <w:proofErr w:type="spellStart"/>
            <w:r w:rsidRPr="005D6F8F">
              <w:t>obavlja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ostale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poslove</w:t>
            </w:r>
            <w:proofErr w:type="spellEnd"/>
            <w:r w:rsidRPr="005D6F8F">
              <w:t xml:space="preserve"> po </w:t>
            </w:r>
            <w:proofErr w:type="spellStart"/>
            <w:r w:rsidRPr="005D6F8F">
              <w:t>nalogu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Pročelnika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i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Općinskog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načelnika</w:t>
            </w:r>
            <w:proofErr w:type="spellEnd"/>
          </w:p>
          <w:p w14:paraId="756D425E" w14:textId="77777777" w:rsidR="000759BA" w:rsidRPr="005D6F8F" w:rsidRDefault="000759BA" w:rsidP="00727F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9D4" w14:textId="77777777" w:rsidR="000759BA" w:rsidRPr="005D6F8F" w:rsidRDefault="00000000" w:rsidP="00727F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</w:tbl>
    <w:p w14:paraId="1F83D921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202D7B97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0BEB16F7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54DCC3AB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344B4AF8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4787C963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3F45A4C5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6DCEF02E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36E11404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73C9A84E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1A4AA3C9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3C7A1BC7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33887F41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1686B1EA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4864148E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42756E6B" w14:textId="77777777" w:rsidR="000759BA" w:rsidRPr="005D6F8F" w:rsidRDefault="000759BA">
      <w:pPr>
        <w:rPr>
          <w:b/>
          <w:bCs/>
          <w:sz w:val="20"/>
          <w:szCs w:val="20"/>
        </w:rPr>
      </w:pPr>
    </w:p>
    <w:p w14:paraId="2E19C8C0" w14:textId="77777777" w:rsidR="000759BA" w:rsidRPr="005D6F8F" w:rsidRDefault="000759BA">
      <w:pPr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1531"/>
        <w:tblW w:w="10608" w:type="dxa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2974"/>
        <w:gridCol w:w="710"/>
        <w:gridCol w:w="1559"/>
        <w:gridCol w:w="709"/>
        <w:gridCol w:w="2551"/>
        <w:gridCol w:w="851"/>
        <w:gridCol w:w="549"/>
      </w:tblGrid>
      <w:tr w:rsidR="000759BA" w:rsidRPr="005D6F8F" w14:paraId="64F35F13" w14:textId="77777777">
        <w:trPr>
          <w:trHeight w:val="3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4B56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Red. broj</w:t>
            </w:r>
          </w:p>
          <w:p w14:paraId="1A51F710" w14:textId="77777777" w:rsidR="000759BA" w:rsidRPr="005D6F8F" w:rsidRDefault="000759BA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FEBF7" w14:textId="77777777" w:rsidR="000759BA" w:rsidRPr="005D6F8F" w:rsidRDefault="00000000">
            <w:pPr>
              <w:widowControl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5D6F8F">
              <w:rPr>
                <w:b/>
                <w:sz w:val="20"/>
                <w:szCs w:val="20"/>
                <w:lang w:eastAsia="hr-HR"/>
              </w:rPr>
              <w:t>Naziv radnog mjesta</w:t>
            </w:r>
          </w:p>
          <w:p w14:paraId="278C43B1" w14:textId="77777777" w:rsidR="000759BA" w:rsidRPr="005D6F8F" w:rsidRDefault="000759BA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926D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311E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3DB7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6BF2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Klasifikacijski</w:t>
            </w:r>
          </w:p>
          <w:p w14:paraId="11DA1449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E12C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 izvršitelja</w:t>
            </w:r>
          </w:p>
        </w:tc>
      </w:tr>
      <w:tr w:rsidR="000759BA" w:rsidRPr="005D6F8F" w14:paraId="420DDE3A" w14:textId="77777777">
        <w:trPr>
          <w:trHeight w:val="2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531C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5901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iši </w:t>
            </w:r>
            <w:proofErr w:type="spellStart"/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referena</w:t>
            </w:r>
            <w:proofErr w:type="spellEnd"/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ica</w:t>
            </w:r>
            <w:proofErr w:type="spellEnd"/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asistent/</w:t>
            </w:r>
            <w:proofErr w:type="spellStart"/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ica</w:t>
            </w:r>
            <w:proofErr w:type="spellEnd"/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2A33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87CC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iši referent/</w:t>
            </w:r>
            <w:proofErr w:type="spellStart"/>
            <w:r w:rsidRPr="005D6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6976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C83A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5CB8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0759BA" w:rsidRPr="005D6F8F" w14:paraId="52CF6A18" w14:textId="77777777">
        <w:trPr>
          <w:trHeight w:val="3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39AD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7D2F" w14:textId="77777777" w:rsidR="000759BA" w:rsidRPr="005D6F8F" w:rsidRDefault="00000000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Potrebno stručno znanje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5E06" w14:textId="77777777" w:rsidR="000759BA" w:rsidRPr="005D6F8F" w:rsidRDefault="00000000">
            <w:pPr>
              <w:pStyle w:val="Bezproreda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Opis poslova radnog mjesta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FDF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0759BA" w:rsidRPr="005D6F8F" w14:paraId="2D683FA4" w14:textId="77777777">
        <w:trPr>
          <w:trHeight w:val="302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ECC3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F113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 xml:space="preserve"> stručno znanje: sveučilišni prvostupnik struke ili stručni prvostupnik struke i najmanje jedna godina radnog iskustva na odgovarajućim poslovima,</w:t>
            </w:r>
          </w:p>
          <w:p w14:paraId="38451FAC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složenosti koji uključuje izričito određene poslove koji zahtijevaju primjenu jednostavnijih i precizno utvrđenih postupaka, metoda rada i stručnih tehnika,</w:t>
            </w:r>
          </w:p>
          <w:p w14:paraId="4EDCE50C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samostalnosti koji uključuje redovan nadzor nadređenog službenika te njegove upute za rješavanje relativno složenih stručnih problema,</w:t>
            </w:r>
          </w:p>
          <w:p w14:paraId="0B4BD5DA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odgovornosti koji uključuje odgovornost za materijalne resurse s kojima službenik radi te pravilnu primjenu propisanih postupaka, metoda rada i stručnih tehnika,</w:t>
            </w:r>
          </w:p>
          <w:p w14:paraId="7757D386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</w:rPr>
              <w:t>– stupanj stručnih komunikacija koji uključuje komunikaciju unutar nižih unutarnjih ustrojstvenih jedinica.</w:t>
            </w: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B8E2" w14:textId="77777777" w:rsidR="000759BA" w:rsidRPr="005D6F8F" w:rsidRDefault="00000000">
            <w:pPr>
              <w:pStyle w:val="Odlomakpopisa"/>
              <w:widowControl w:val="0"/>
              <w:numPr>
                <w:ilvl w:val="0"/>
                <w:numId w:val="2"/>
              </w:numPr>
              <w:jc w:val="both"/>
            </w:pPr>
            <w:proofErr w:type="spellStart"/>
            <w:r w:rsidRPr="005D6F8F">
              <w:t>promocija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projekta</w:t>
            </w:r>
            <w:proofErr w:type="spellEnd"/>
            <w:r w:rsidRPr="005D6F8F"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405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0759BA" w:rsidRPr="005D6F8F" w14:paraId="78645314" w14:textId="77777777">
        <w:trPr>
          <w:trHeight w:val="27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38AB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38B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08C" w14:textId="77777777" w:rsidR="000759BA" w:rsidRPr="005D6F8F" w:rsidRDefault="00000000">
            <w:pPr>
              <w:pStyle w:val="Odlomakpopisa"/>
              <w:widowControl w:val="0"/>
              <w:numPr>
                <w:ilvl w:val="0"/>
                <w:numId w:val="2"/>
              </w:numPr>
              <w:jc w:val="both"/>
            </w:pPr>
            <w:proofErr w:type="spellStart"/>
            <w:r w:rsidRPr="005D6F8F">
              <w:t>distribucija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letaka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i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plakata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156A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0759BA" w:rsidRPr="005D6F8F" w14:paraId="56E43E7E" w14:textId="77777777">
        <w:trPr>
          <w:trHeight w:val="21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22B9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E1CE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A6D" w14:textId="77777777" w:rsidR="000759BA" w:rsidRPr="005D6F8F" w:rsidRDefault="00000000">
            <w:pPr>
              <w:pStyle w:val="Odlomakpopisa"/>
              <w:widowControl w:val="0"/>
              <w:numPr>
                <w:ilvl w:val="0"/>
                <w:numId w:val="2"/>
              </w:numPr>
              <w:jc w:val="both"/>
            </w:pPr>
            <w:proofErr w:type="spellStart"/>
            <w:r w:rsidRPr="005D6F8F">
              <w:t>evidencijsko-administrativni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poslovi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BB2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0759BA" w:rsidRPr="005D6F8F" w14:paraId="74899633" w14:textId="77777777">
        <w:trPr>
          <w:trHeight w:val="60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5805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6F0A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775" w14:textId="77777777" w:rsidR="000759BA" w:rsidRPr="005D6F8F" w:rsidRDefault="00000000">
            <w:pPr>
              <w:pStyle w:val="Odlomakpopisa"/>
              <w:widowControl w:val="0"/>
              <w:numPr>
                <w:ilvl w:val="0"/>
                <w:numId w:val="2"/>
              </w:numPr>
              <w:jc w:val="both"/>
            </w:pPr>
            <w:proofErr w:type="spellStart"/>
            <w:r w:rsidRPr="005D6F8F">
              <w:t>surađuje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sa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partnerima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i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animira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dionike</w:t>
            </w:r>
            <w:proofErr w:type="spellEnd"/>
            <w:r w:rsidRPr="005D6F8F">
              <w:t xml:space="preserve"> za </w:t>
            </w:r>
            <w:proofErr w:type="spellStart"/>
            <w:r w:rsidRPr="005D6F8F">
              <w:t>sudjelovanje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na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projektnim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aktivnostima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D84C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0759BA" w:rsidRPr="005D6F8F" w14:paraId="417D8888" w14:textId="77777777">
        <w:trPr>
          <w:trHeight w:val="1731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2460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6ED7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DA2A" w14:textId="77777777" w:rsidR="000759BA" w:rsidRPr="005D6F8F" w:rsidRDefault="00000000">
            <w:pPr>
              <w:pStyle w:val="Odlomakpopisa"/>
              <w:widowControl w:val="0"/>
              <w:numPr>
                <w:ilvl w:val="0"/>
                <w:numId w:val="2"/>
              </w:numPr>
              <w:jc w:val="both"/>
            </w:pPr>
            <w:proofErr w:type="spellStart"/>
            <w:r w:rsidRPr="005D6F8F">
              <w:t>obavlja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ostale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poslove</w:t>
            </w:r>
            <w:proofErr w:type="spellEnd"/>
            <w:r w:rsidRPr="005D6F8F">
              <w:t xml:space="preserve"> po </w:t>
            </w:r>
            <w:proofErr w:type="spellStart"/>
            <w:r w:rsidRPr="005D6F8F">
              <w:t>nalogu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Pročelnika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i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Općinskog</w:t>
            </w:r>
            <w:proofErr w:type="spellEnd"/>
            <w:r w:rsidRPr="005D6F8F">
              <w:t xml:space="preserve"> </w:t>
            </w:r>
            <w:proofErr w:type="spellStart"/>
            <w:r w:rsidRPr="005D6F8F">
              <w:t>načelnika</w:t>
            </w:r>
            <w:proofErr w:type="spellEnd"/>
          </w:p>
          <w:p w14:paraId="7EEA4F9A" w14:textId="77777777" w:rsidR="000759BA" w:rsidRPr="005D6F8F" w:rsidRDefault="000759BA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C68B" w14:textId="77777777" w:rsidR="000759BA" w:rsidRPr="005D6F8F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D6F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  <w:p w14:paraId="6559CF96" w14:textId="77777777" w:rsidR="000759BA" w:rsidRPr="005D6F8F" w:rsidRDefault="000759BA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7EB977C" w14:textId="77777777" w:rsidR="000759BA" w:rsidRDefault="000759BA"/>
    <w:p w14:paraId="0B7D2D59" w14:textId="77777777" w:rsidR="00F72EA7" w:rsidRDefault="00F72EA7"/>
    <w:p w14:paraId="52B4F9AA" w14:textId="160032E7" w:rsidR="00F72EA7" w:rsidRPr="00F72EA7" w:rsidRDefault="00F72EA7">
      <w:r w:rsidRPr="00F72EA7">
        <w:t>Radna mjesta pod brojem 6. Viši referent/</w:t>
      </w:r>
      <w:proofErr w:type="spellStart"/>
      <w:r w:rsidRPr="00F72EA7">
        <w:t>ica</w:t>
      </w:r>
      <w:proofErr w:type="spellEnd"/>
      <w:r w:rsidRPr="00F72EA7">
        <w:t xml:space="preserve"> - voditelj/</w:t>
      </w:r>
      <w:proofErr w:type="spellStart"/>
      <w:r w:rsidRPr="00F72EA7">
        <w:t>ica</w:t>
      </w:r>
      <w:proofErr w:type="spellEnd"/>
      <w:r w:rsidRPr="00F72EA7">
        <w:t xml:space="preserve"> projekta i 7. </w:t>
      </w:r>
      <w:r w:rsidRPr="00F72EA7">
        <w:rPr>
          <w:rFonts w:eastAsia="Calibri"/>
        </w:rPr>
        <w:t>V</w:t>
      </w:r>
      <w:r w:rsidRPr="00F72EA7">
        <w:t xml:space="preserve">iši </w:t>
      </w:r>
      <w:proofErr w:type="spellStart"/>
      <w:r w:rsidRPr="00F72EA7">
        <w:t>referena</w:t>
      </w:r>
      <w:proofErr w:type="spellEnd"/>
      <w:r w:rsidRPr="00F72EA7">
        <w:t>/</w:t>
      </w:r>
      <w:proofErr w:type="spellStart"/>
      <w:r w:rsidRPr="00F72EA7">
        <w:t>ica</w:t>
      </w:r>
      <w:proofErr w:type="spellEnd"/>
      <w:r w:rsidRPr="00F72EA7">
        <w:t xml:space="preserve"> - asistent/</w:t>
      </w:r>
      <w:proofErr w:type="spellStart"/>
      <w:r w:rsidRPr="00F72EA7">
        <w:t>ica</w:t>
      </w:r>
      <w:proofErr w:type="spellEnd"/>
      <w:r w:rsidRPr="00F72EA7">
        <w:t xml:space="preserve"> projekta su privremena radna mjesta, koja su privremena za potrebe provedbe projekta</w:t>
      </w:r>
      <w:r w:rsidR="00112D84">
        <w:t>, za vrijeme trajanja projek</w:t>
      </w:r>
      <w:r w:rsidR="00E56E56">
        <w:t>a</w:t>
      </w:r>
      <w:r w:rsidR="00112D84">
        <w:t>ta.</w:t>
      </w:r>
    </w:p>
    <w:sectPr w:rsidR="00F72EA7" w:rsidRPr="00F72EA7">
      <w:footerReference w:type="default" r:id="rId8"/>
      <w:footerReference w:type="first" r:id="rId9"/>
      <w:pgSz w:w="11906" w:h="16838"/>
      <w:pgMar w:top="1417" w:right="1106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8F6B" w14:textId="77777777" w:rsidR="00F73466" w:rsidRDefault="00F73466">
      <w:r>
        <w:separator/>
      </w:r>
    </w:p>
  </w:endnote>
  <w:endnote w:type="continuationSeparator" w:id="0">
    <w:p w14:paraId="7122FD63" w14:textId="77777777" w:rsidR="00F73466" w:rsidRDefault="00F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B691" w14:textId="77777777" w:rsidR="000759BA" w:rsidRDefault="00000000">
    <w:pPr>
      <w:pStyle w:val="Podnoje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6A8" w14:textId="77777777" w:rsidR="000759BA" w:rsidRDefault="00000000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F8AD" w14:textId="77777777" w:rsidR="00F73466" w:rsidRDefault="00F73466">
      <w:r>
        <w:separator/>
      </w:r>
    </w:p>
  </w:footnote>
  <w:footnote w:type="continuationSeparator" w:id="0">
    <w:p w14:paraId="59A79C94" w14:textId="77777777" w:rsidR="00F73466" w:rsidRDefault="00F7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863"/>
    <w:multiLevelType w:val="multilevel"/>
    <w:tmpl w:val="1F38F51C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E43F35"/>
    <w:multiLevelType w:val="multilevel"/>
    <w:tmpl w:val="194A8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8064974">
    <w:abstractNumId w:val="1"/>
  </w:num>
  <w:num w:numId="2" w16cid:durableId="86101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BA"/>
    <w:rsid w:val="00007E81"/>
    <w:rsid w:val="000759BA"/>
    <w:rsid w:val="00086BEB"/>
    <w:rsid w:val="00093D6C"/>
    <w:rsid w:val="000B5808"/>
    <w:rsid w:val="00112D84"/>
    <w:rsid w:val="00136FFD"/>
    <w:rsid w:val="001860A4"/>
    <w:rsid w:val="001B4976"/>
    <w:rsid w:val="00266432"/>
    <w:rsid w:val="0026790C"/>
    <w:rsid w:val="003A6CBB"/>
    <w:rsid w:val="004070F3"/>
    <w:rsid w:val="00474D87"/>
    <w:rsid w:val="00477AAA"/>
    <w:rsid w:val="00481640"/>
    <w:rsid w:val="004A32D9"/>
    <w:rsid w:val="004C037E"/>
    <w:rsid w:val="005304D0"/>
    <w:rsid w:val="00596133"/>
    <w:rsid w:val="005B78DC"/>
    <w:rsid w:val="005D6F8F"/>
    <w:rsid w:val="006008C7"/>
    <w:rsid w:val="00630150"/>
    <w:rsid w:val="00634003"/>
    <w:rsid w:val="006632D3"/>
    <w:rsid w:val="00695087"/>
    <w:rsid w:val="00727F92"/>
    <w:rsid w:val="007A111B"/>
    <w:rsid w:val="007E41FE"/>
    <w:rsid w:val="008831F7"/>
    <w:rsid w:val="00952F00"/>
    <w:rsid w:val="009E3CDE"/>
    <w:rsid w:val="00A358CD"/>
    <w:rsid w:val="00A362B4"/>
    <w:rsid w:val="00A95F3E"/>
    <w:rsid w:val="00AE1E64"/>
    <w:rsid w:val="00BF5B41"/>
    <w:rsid w:val="00BF5DF7"/>
    <w:rsid w:val="00C068AC"/>
    <w:rsid w:val="00C179FE"/>
    <w:rsid w:val="00C23D17"/>
    <w:rsid w:val="00CD1B79"/>
    <w:rsid w:val="00CD708E"/>
    <w:rsid w:val="00D05663"/>
    <w:rsid w:val="00DE452E"/>
    <w:rsid w:val="00E00D0E"/>
    <w:rsid w:val="00E03764"/>
    <w:rsid w:val="00E23D2C"/>
    <w:rsid w:val="00E47573"/>
    <w:rsid w:val="00E56E56"/>
    <w:rsid w:val="00EB78F5"/>
    <w:rsid w:val="00EF5CAC"/>
    <w:rsid w:val="00F30040"/>
    <w:rsid w:val="00F72EA7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B454"/>
  <w15:docId w15:val="{68112B4D-5B57-4195-8B8A-44544BE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qFormat/>
    <w:rPr>
      <w:rFonts w:ascii="TimesNewRoman" w:hAnsi="TimesNewRoman" w:cs="TimesNewRoman"/>
    </w:rPr>
  </w:style>
  <w:style w:type="paragraph" w:styleId="Odlomakpopisa">
    <w:name w:val="List Paragraph"/>
    <w:basedOn w:val="Normal"/>
    <w:qFormat/>
    <w:pPr>
      <w:ind w:left="720"/>
      <w:contextualSpacing/>
    </w:pPr>
    <w:rPr>
      <w:kern w:val="2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Korisnik</dc:creator>
  <dc:description/>
  <cp:lastModifiedBy>Korisnik</cp:lastModifiedBy>
  <cp:revision>77</cp:revision>
  <cp:lastPrinted>2016-12-19T10:41:00Z</cp:lastPrinted>
  <dcterms:created xsi:type="dcterms:W3CDTF">2016-12-02T12:12:00Z</dcterms:created>
  <dcterms:modified xsi:type="dcterms:W3CDTF">2023-09-19T11:32:00Z</dcterms:modified>
  <dc:language>hr-HR</dc:language>
</cp:coreProperties>
</file>