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  <w:t>REPUBLIKA HRVATSKA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VUKOVARSKO-SRIJEMSKA ŽUPANIJA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OPĆINA NEGOSLAVCI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KLASA</w:t>
      </w:r>
      <w:r>
        <w:rPr>
          <w:rFonts w:eastAsia="Calibri" w:cs="Times New Roman"/>
          <w:b/>
          <w:color w:val="000000"/>
          <w:szCs w:val="24"/>
          <w:lang w:val="hr-HR"/>
        </w:rPr>
        <w:t xml:space="preserve">: </w:t>
      </w:r>
      <w:r>
        <w:rPr>
          <w:rFonts w:eastAsia="Calibri" w:cs="Times New Roman"/>
          <w:color w:val="000000"/>
          <w:szCs w:val="24"/>
          <w:lang w:val="hr-HR"/>
        </w:rPr>
        <w:t>400-01/23-01/01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val="hr-HR"/>
        </w:rPr>
        <w:t xml:space="preserve">URBROJ: </w:t>
      </w:r>
      <w:r>
        <w:rPr>
          <w:rFonts w:eastAsia="Calibri" w:cs="Times New Roman"/>
          <w:color w:val="000000"/>
          <w:szCs w:val="24"/>
          <w:lang w:val="hr-HR"/>
        </w:rPr>
        <w:t>2196-19-02-23-15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 xml:space="preserve">Negoslavci, </w:t>
      </w:r>
      <w:r>
        <w:rPr>
          <w:lang w:val="hr-HR"/>
        </w:rPr>
        <w:t>28.12.2023. godine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 xml:space="preserve">Na temelju članka 67., stavka 1. Zakona o komunalnom gospodarstvu („Narodne novine“ broj 68/18, 110/18 i 32/20) i </w:t>
      </w:r>
      <w:r>
        <w:rPr>
          <w:rFonts w:eastAsia="Calibri" w:cs="Times New Roman"/>
          <w:szCs w:val="24"/>
          <w:lang w:val="hr-HR"/>
        </w:rPr>
        <w:t>članka 19., stavka 1., točke 2. Statuta Općine Negoslavci („Službeni glasnik Općine Negoslavci” broj 1/21 i 7/23)</w:t>
      </w:r>
      <w:r>
        <w:rPr>
          <w:lang w:val="hr-HR"/>
        </w:rPr>
        <w:t>, Općinsko vijeće Općine Negoslavci na svojoj redovnoj sjednici održanoj dana 28.12.2023. godine donosi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Izmjene i dopune </w:t>
      </w:r>
      <w:bookmarkStart w:id="0" w:name="_Toc62727860"/>
      <w:r>
        <w:rPr>
          <w:rFonts w:eastAsia="Calibri" w:cs="Times New Roman"/>
          <w:b/>
          <w:szCs w:val="24"/>
          <w:lang w:val="hr-HR"/>
        </w:rPr>
        <w:t>Programa građenja komunalne infrastrukture</w:t>
      </w:r>
      <w:bookmarkEnd w:id="0"/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Općine Negoslavci za 2023. godinu</w:t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 xml:space="preserve">U Programu građenja komunalne infrastrukture Općine Negoslavci za 2023. godinu („Službeni glasnik Općine Negoslavci” broj 8/22 i 5/23) (u daljem tekstu: Program), članak 3. mijenja se i glasi:             </w:t>
      </w:r>
    </w:p>
    <w:p>
      <w:pPr>
        <w:pStyle w:val="ListParagraph"/>
        <w:bidi w:val="0"/>
        <w:ind w:left="0" w:hanging="0"/>
        <w:jc w:val="both"/>
        <w:rPr>
          <w:lang w:val="hr-HR"/>
        </w:rPr>
      </w:pPr>
      <w:r>
        <w:rPr>
          <w:lang w:val="hr-HR"/>
        </w:rPr>
        <w:tab/>
        <w:t>„U 2023. godini planira se gradnja sljedećih objekata komunalne infrastrukture na području Općine Negoslavci kako slijedi: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hr-HR"/>
        </w:rPr>
      </w:pPr>
      <w:r>
        <w:rPr>
          <w:lang w:val="hr-HR"/>
        </w:rPr>
        <w:t>građevine komunalne infrastrukture koje će se graditi radi uređenja neuređenih dijelova građevinskog područja</w:t>
        <w:tab/>
        <w:tab/>
        <w:tab/>
        <w:tab/>
        <w:tab/>
        <w:t xml:space="preserve">                                         0,00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hr-HR"/>
        </w:rPr>
      </w:pPr>
      <w:r>
        <w:rPr>
          <w:lang w:val="hr-HR"/>
        </w:rPr>
        <w:t>građevine komunalne infrastrukture koje će se graditi u uređenim dijelovima građevinskog područja</w:t>
        <w:tab/>
      </w:r>
    </w:p>
    <w:p>
      <w:pPr>
        <w:pStyle w:val="Normal"/>
        <w:bidi w:val="0"/>
        <w:ind w:left="993" w:hanging="993"/>
        <w:jc w:val="left"/>
        <w:rPr>
          <w:lang w:val="hr-HR"/>
        </w:rPr>
      </w:pPr>
      <w:r>
        <w:rPr>
          <w:lang w:val="hr-HR"/>
        </w:rPr>
        <w:t xml:space="preserve">- </w:t>
      </w:r>
      <w:r>
        <w:rPr>
          <w:color w:val="000000"/>
          <w:lang w:val="hr-HR"/>
        </w:rPr>
        <w:t>izgradnja nerazvrstanih cesta</w:t>
      </w:r>
      <w:r>
        <w:rPr>
          <w:lang w:val="hr-HR"/>
        </w:rPr>
        <w:tab/>
        <w:tab/>
        <w:tab/>
        <w:t xml:space="preserve">                                                        </w:t>
        <w:tab/>
        <w:tab/>
        <w:t xml:space="preserve">     </w:t>
        <w:tab/>
        <w:tab/>
        <w:tab/>
        <w:tab/>
        <w:tab/>
        <w:tab/>
        <w:tab/>
        <w:tab/>
        <w:t xml:space="preserve">   158.224,50 KN/21.000,00 EUR</w:t>
      </w:r>
    </w:p>
    <w:p>
      <w:pPr>
        <w:pStyle w:val="Normal"/>
        <w:bidi w:val="0"/>
        <w:ind w:left="993" w:hanging="993"/>
        <w:jc w:val="left"/>
        <w:rPr>
          <w:lang w:val="hr-HR"/>
        </w:rPr>
      </w:pPr>
      <w:r>
        <w:rPr/>
        <w:t xml:space="preserve">- izgradnja parkinga u centru naselja                                                   192.129,75 KN/25.500,00 EUR                 </w:t>
      </w:r>
    </w:p>
    <w:p>
      <w:pPr>
        <w:pStyle w:val="ListParagraph"/>
        <w:numPr>
          <w:ilvl w:val="0"/>
          <w:numId w:val="0"/>
        </w:numPr>
        <w:bidi w:val="0"/>
        <w:ind w:left="1080" w:hanging="0"/>
        <w:jc w:val="both"/>
        <w:rPr>
          <w:lang w:val="hr-HR"/>
        </w:rPr>
      </w:pPr>
      <w:r>
        <w:rPr>
          <w:lang w:val="hr-HR"/>
        </w:rPr>
        <w:t>građevine komunalne infrastrukture koje će se graditi izvan građevinskog područja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ab/>
        <w:tab/>
        <w:tab/>
        <w:tab/>
        <w:tab/>
        <w:tab/>
        <w:tab/>
        <w:tab/>
        <w:tab/>
        <w:t xml:space="preserve">                                   0,00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hr-HR"/>
        </w:rPr>
      </w:pPr>
      <w:r>
        <w:rPr>
          <w:lang w:val="hr-HR"/>
        </w:rPr>
        <w:t>postojeće građevine komunalne infrastrukture koje će se rekonstruisati,                     0,00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lang w:val="hr-HR"/>
        </w:rPr>
      </w:pPr>
      <w:r>
        <w:rPr>
          <w:lang w:val="hr-HR"/>
        </w:rPr>
        <w:t>građevine komunalne infrastrukture koje će se uklanjati,                                             0,00</w:t>
      </w:r>
    </w:p>
    <w:p>
      <w:pPr>
        <w:pStyle w:val="ListParagraph"/>
        <w:bidi w:val="0"/>
        <w:ind w:left="0" w:hanging="0"/>
        <w:jc w:val="left"/>
        <w:rPr>
          <w:b/>
          <w:b/>
          <w:lang w:val="hr-HR"/>
        </w:rPr>
      </w:pPr>
      <w:r>
        <w:rPr>
          <w:b/>
          <w:lang w:val="hr-HR"/>
        </w:rPr>
        <w:t xml:space="preserve">UKUPNO: </w:t>
        <w:tab/>
        <w:tab/>
        <w:tab/>
        <w:tab/>
        <w:tab/>
        <w:tab/>
        <w:tab/>
        <w:t xml:space="preserve">           350.354,25 KN/46.500,00 EUR ”</w:t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>
      <w:pPr>
        <w:pStyle w:val="Normal"/>
        <w:bidi w:val="0"/>
        <w:jc w:val="lef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 w:val="false"/>
          <w:bCs w:val="false"/>
          <w:szCs w:val="24"/>
          <w:lang w:val="hr-HR"/>
        </w:rPr>
        <w:t>Članak 4. Programa mijenja se i glasi: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 w:val="false"/>
          <w:bCs w:val="false"/>
          <w:szCs w:val="24"/>
          <w:lang w:val="hr-HR"/>
        </w:rPr>
        <w:t>„</w:t>
      </w:r>
      <w:r>
        <w:rPr>
          <w:rFonts w:eastAsia="Calibri" w:cs="Times New Roman"/>
          <w:szCs w:val="24"/>
          <w:lang w:val="hr-HR"/>
        </w:rPr>
        <w:t xml:space="preserve">Financijska sredstva za gradnju komunalne infrastrukture iz članka 3. u ukupnom iznosu od   </w:t>
      </w:r>
      <w:r>
        <w:rPr>
          <w:rFonts w:eastAsia="Calibri" w:cs="Times New Roman"/>
          <w:b w:val="false"/>
          <w:bCs w:val="false"/>
          <w:szCs w:val="24"/>
          <w:lang w:val="hr-HR"/>
        </w:rPr>
        <w:t>350.354,25</w:t>
      </w:r>
      <w:r>
        <w:rPr>
          <w:rFonts w:eastAsia="Calibri" w:cs="Times New Roman"/>
          <w:szCs w:val="24"/>
          <w:lang w:val="hr-HR"/>
        </w:rPr>
        <w:t xml:space="preserve"> KN/46.500,00 EUR osigurat će se iz sljedećih izvora.</w:t>
      </w:r>
    </w:p>
    <w:tbl>
      <w:tblPr>
        <w:tblStyle w:val="Reetkatablice"/>
        <w:tblW w:w="9350" w:type="dxa"/>
        <w:jc w:val="left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Izvršenje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Potrebna sredstva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Izvori financiranja i iznosi</w:t>
            </w:r>
          </w:p>
        </w:tc>
      </w:tr>
      <w:tr>
        <w:trPr/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2"/>
                <w:lang w:val="hr-HR" w:eastAsia="en-US" w:bidi="ar-SA"/>
              </w:rPr>
              <w:t xml:space="preserve">Izgradnja nerazvrstanih cesta                                                                                             </w:t>
            </w:r>
            <w:r>
              <w:rPr>
                <w:rFonts w:ascii="Times New Roman" w:hAnsi="Times New Roman"/>
                <w:color w:val="C9211E"/>
                <w:kern w:val="0"/>
                <w:sz w:val="24"/>
                <w:szCs w:val="22"/>
                <w:lang w:val="hr-HR" w:eastAsia="en-US" w:bidi="ar-SA"/>
              </w:rPr>
              <w:t xml:space="preserve">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993" w:hanging="993"/>
              <w:jc w:val="both"/>
              <w:rPr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158.224,50 KN/</w:t>
            </w:r>
          </w:p>
          <w:p>
            <w:pPr>
              <w:pStyle w:val="Normal"/>
              <w:widowControl w:val="false"/>
              <w:bidi w:val="0"/>
              <w:ind w:left="993" w:hanging="993"/>
              <w:jc w:val="both"/>
              <w:rPr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21.000,00 EUR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Sufinanciranje Ministarstva regionalnog razvoja i fondova Europske Unije -</w:t>
            </w:r>
          </w:p>
          <w:p>
            <w:pPr>
              <w:pStyle w:val="Normal"/>
              <w:widowControl w:val="false"/>
              <w:bidi w:val="0"/>
              <w:ind w:left="993" w:hanging="993"/>
              <w:jc w:val="both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szCs w:val="24"/>
                <w:lang w:val="hr-HR"/>
              </w:rPr>
              <w:t>140.000,00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 xml:space="preserve"> KN/</w:t>
            </w:r>
          </w:p>
          <w:p>
            <w:pPr>
              <w:pStyle w:val="Normal"/>
              <w:widowControl w:val="false"/>
              <w:bidi w:val="0"/>
              <w:ind w:left="993" w:hanging="993"/>
              <w:jc w:val="both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szCs w:val="24"/>
                <w:lang w:val="hr-HR"/>
              </w:rPr>
              <w:t>18.581,19 EUR</w:t>
            </w:r>
          </w:p>
          <w:p>
            <w:pPr>
              <w:pStyle w:val="Normal"/>
              <w:widowControl w:val="false"/>
              <w:bidi w:val="0"/>
              <w:ind w:left="993" w:hanging="993"/>
              <w:jc w:val="left"/>
              <w:rPr>
                <w:lang w:val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i prihodi iz proračuna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18.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224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50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 KN/</w:t>
            </w:r>
          </w:p>
          <w:p>
            <w:pPr>
              <w:pStyle w:val="Normal"/>
              <w:widowControl w:val="false"/>
              <w:bidi w:val="0"/>
              <w:ind w:left="993" w:hanging="993"/>
              <w:jc w:val="left"/>
              <w:rPr>
                <w:lang w:val="hr-H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137.312,5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 EUR</w:t>
            </w:r>
          </w:p>
        </w:tc>
      </w:tr>
      <w:tr>
        <w:trPr/>
        <w:tc>
          <w:tcPr>
            <w:tcW w:w="3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Izgradnja parkinga u centru naselja</w:t>
            </w:r>
          </w:p>
        </w:tc>
        <w:tc>
          <w:tcPr>
            <w:tcW w:w="3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993" w:hanging="993"/>
              <w:jc w:val="left"/>
              <w:rPr>
                <w:lang w:val="hr-HR"/>
              </w:rPr>
            </w:pPr>
            <w:r>
              <w:rPr/>
              <w:t>192.129,75 KN/</w:t>
            </w:r>
          </w:p>
          <w:p>
            <w:pPr>
              <w:pStyle w:val="Normal"/>
              <w:widowControl w:val="false"/>
              <w:bidi w:val="0"/>
              <w:ind w:left="993" w:hanging="993"/>
              <w:jc w:val="left"/>
              <w:rPr>
                <w:lang w:val="hr-HR"/>
              </w:rPr>
            </w:pPr>
            <w:r>
              <w:rPr/>
              <w:t xml:space="preserve">25.500,00 EUR </w:t>
            </w:r>
          </w:p>
        </w:tc>
        <w:tc>
          <w:tcPr>
            <w:tcW w:w="3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Suf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>inanciranje MRRFEU 188.362,50 KN/25.</w:t>
            </w:r>
            <w:r>
              <w:rPr>
                <w:rFonts w:eastAsia="Calibri" w:cs="Times New Roman"/>
                <w:szCs w:val="24"/>
                <w:lang w:val="hr-HR"/>
              </w:rPr>
              <w:t>000,00 EUR i prih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>odi iz proračuna 113.017,50 KN/500,00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szCs w:val="24"/>
                <w:lang w:val="hr-HR"/>
              </w:rPr>
              <w:t>EUR</w:t>
            </w:r>
          </w:p>
        </w:tc>
      </w:tr>
      <w:tr>
        <w:trPr/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UKUPNO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993" w:hanging="993"/>
              <w:jc w:val="both"/>
              <w:rPr>
                <w:lang w:val="hr-HR"/>
              </w:rPr>
            </w:pPr>
            <w:r>
              <w:rPr>
                <w:rFonts w:eastAsia="Calibri" w:cs="Times New Roman"/>
                <w:b w:val="false"/>
                <w:bCs w:val="false"/>
                <w:szCs w:val="24"/>
                <w:lang w:val="hr-HR"/>
              </w:rPr>
              <w:t>350.354,25</w:t>
            </w:r>
            <w:r>
              <w:rPr>
                <w:rFonts w:eastAsia="Calibri" w:cs="Times New Roman"/>
                <w:szCs w:val="24"/>
                <w:lang w:val="hr-HR"/>
              </w:rPr>
              <w:t xml:space="preserve"> KN/</w:t>
            </w:r>
          </w:p>
          <w:p>
            <w:pPr>
              <w:pStyle w:val="Normal"/>
              <w:widowControl w:val="false"/>
              <w:bidi w:val="0"/>
              <w:ind w:left="993" w:hanging="993"/>
              <w:jc w:val="both"/>
              <w:rPr>
                <w:lang w:val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46.500,00 EUR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</w:r>
          </w:p>
        </w:tc>
      </w:tr>
    </w:tbl>
    <w:p>
      <w:pPr>
        <w:pStyle w:val="Normal"/>
        <w:bidi w:val="0"/>
        <w:jc w:val="lef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 w:val="false"/>
          <w:bCs w:val="false"/>
          <w:szCs w:val="24"/>
          <w:lang w:val="hr-HR"/>
        </w:rPr>
        <w:t>„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Članak 3.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ab/>
      </w:r>
      <w:r>
        <w:rPr>
          <w:rFonts w:eastAsia="Times New Roman" w:cs="Times New Roman"/>
          <w:b w:val="false"/>
          <w:bCs w:val="false"/>
          <w:sz w:val="22"/>
          <w:lang w:val="en-AU" w:eastAsia="hr-HR"/>
        </w:rPr>
        <w:t>Ostale odredbe Programa se ne mijenjaju, niti se dopunjavaju.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bCs/>
          <w:i w:val="false"/>
          <w:iCs w:val="false"/>
          <w:sz w:val="22"/>
          <w:lang w:val="en-AU" w:eastAsia="hr-HR"/>
        </w:rPr>
        <w:t>Članak 4.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sz w:val="22"/>
          <w:szCs w:val="22"/>
          <w:lang w:val="en-AU" w:eastAsia="hr-HR"/>
        </w:rPr>
        <w:tab/>
        <w:t>Izmjene i dopune Programa financiranja građenja komunalne infrastrukture Općine Negoslavci za 2023. godinu stupaju na snagu dan nakon dana objave u Službenom glasniku Općine Negoslavci.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PREDSJEDNIK OPĆINSKOG VIJEĆA</w:t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bookmarkStart w:id="1" w:name="_GoBack"/>
      <w:bookmarkStart w:id="2" w:name="_GoBack1"/>
      <w:bookmarkEnd w:id="1"/>
      <w:bookmarkEnd w:id="2"/>
      <w:r>
        <w:rPr>
          <w:rFonts w:eastAsia="Calibri" w:cs="Times New Roman"/>
          <w:b w:val="false"/>
          <w:bCs w:val="false"/>
          <w:sz w:val="22"/>
          <w:szCs w:val="22"/>
          <w:lang w:val="hr-HR"/>
        </w:rPr>
        <w:t>Miodrag Mišanović</w:t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LibreOffice/7.4.1.2$Windows_X86_64 LibreOffice_project/3c58a8f3a960df8bc8fd77b461821e42c061c5f0</Application>
  <AppVersion>15.0000</AppVersion>
  <Pages>2</Pages>
  <Words>337</Words>
  <Characters>2185</Characters>
  <CharactersWithSpaces>2903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2024-01-16T08:29:22Z</dcterms:created>
  <dc:creator/>
  <dc:description/>
  <dc:language>hr-HR</dc:language>
  <cp:lastModifiedBy/>
  <dcterms:modified xsi:type="dcterms:W3CDTF">2024-01-16T12:14:48Z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