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both"/>
        <w:rPr>
          <w:rFonts w:eastAsia="Calibri" w:cs="Times New Roman"/>
          <w:szCs w:val="24"/>
          <w:lang w:val="hr-HR"/>
        </w:rPr>
      </w:pPr>
      <w:r>
        <w:rPr>
          <w:rFonts w:eastAsia="Calibri" w:cs="Times New Roman"/>
          <w:szCs w:val="24"/>
          <w:lang w:val="hr-HR"/>
        </w:rPr>
        <w:tab/>
        <w:tab/>
      </w:r>
      <w:r>
        <w:rPr/>
        <w:drawing>
          <wp:inline distT="0" distB="0" distL="0" distR="0">
            <wp:extent cx="475615" cy="597535"/>
            <wp:effectExtent l="0" t="0" r="0" b="0"/>
            <wp:docPr id="1" name="Slika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597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bidi w:val="0"/>
        <w:ind w:firstLine="720"/>
        <w:jc w:val="both"/>
        <w:rPr>
          <w:rFonts w:eastAsia="Calibri" w:cs="Times New Roman"/>
          <w:b/>
          <w:b/>
          <w:szCs w:val="24"/>
          <w:lang w:val="hr-HR"/>
        </w:rPr>
      </w:pPr>
      <w:r>
        <w:rPr>
          <w:rFonts w:eastAsia="Calibri" w:cs="Times New Roman"/>
          <w:b/>
          <w:szCs w:val="24"/>
          <w:lang w:val="hr-HR"/>
        </w:rPr>
        <w:t>REPUBLIKA HRVATSKA</w:t>
      </w:r>
    </w:p>
    <w:p>
      <w:pPr>
        <w:pStyle w:val="Normal"/>
        <w:bidi w:val="0"/>
        <w:jc w:val="both"/>
        <w:rPr>
          <w:rFonts w:eastAsia="Calibri" w:cs="Times New Roman"/>
          <w:b/>
          <w:b/>
          <w:szCs w:val="24"/>
          <w:lang w:val="hr-HR"/>
        </w:rPr>
      </w:pPr>
      <w:r>
        <w:rPr>
          <w:rFonts w:eastAsia="Calibri" w:cs="Times New Roman"/>
          <w:b/>
          <w:szCs w:val="24"/>
          <w:lang w:val="hr-HR"/>
        </w:rPr>
        <w:t>VUKOVARSKO-SRIJEMSKA ŽUPANIJA</w:t>
      </w:r>
      <w:bookmarkStart w:id="0" w:name="_GoBack"/>
      <w:bookmarkEnd w:id="0"/>
    </w:p>
    <w:p>
      <w:pPr>
        <w:pStyle w:val="Normal"/>
        <w:bidi w:val="0"/>
        <w:jc w:val="both"/>
        <w:rPr>
          <w:rFonts w:eastAsia="Calibri" w:cs="Times New Roman"/>
          <w:b/>
          <w:b/>
          <w:szCs w:val="24"/>
          <w:lang w:val="hr-HR"/>
        </w:rPr>
      </w:pPr>
      <w:r>
        <w:rPr>
          <w:rFonts w:eastAsia="Calibri" w:cs="Times New Roman"/>
          <w:b/>
          <w:szCs w:val="24"/>
          <w:lang w:val="hr-HR"/>
        </w:rPr>
        <w:t>OPĆINA NEGOSLAVCI</w:t>
      </w:r>
    </w:p>
    <w:p>
      <w:pPr>
        <w:pStyle w:val="Normal"/>
        <w:bidi w:val="0"/>
        <w:jc w:val="both"/>
        <w:rPr>
          <w:rFonts w:eastAsia="Calibri" w:cs="Times New Roman"/>
          <w:b/>
          <w:b/>
          <w:szCs w:val="24"/>
          <w:lang w:val="hr-HR"/>
        </w:rPr>
      </w:pPr>
      <w:r>
        <w:rPr>
          <w:rFonts w:eastAsia="Calibri" w:cs="Times New Roman"/>
          <w:b/>
          <w:szCs w:val="24"/>
          <w:lang w:val="hr-HR"/>
        </w:rPr>
        <w:t>Općinsko vijeće</w:t>
      </w:r>
    </w:p>
    <w:p>
      <w:pPr>
        <w:pStyle w:val="Normal"/>
        <w:bidi w:val="0"/>
        <w:jc w:val="both"/>
        <w:rPr>
          <w:rFonts w:eastAsia="Calibri" w:cs="Times New Roman"/>
          <w:szCs w:val="24"/>
          <w:lang w:val="hr-HR"/>
        </w:rPr>
      </w:pPr>
      <w:r>
        <w:rPr>
          <w:rFonts w:eastAsia="Calibri" w:cs="Times New Roman"/>
          <w:b/>
          <w:szCs w:val="24"/>
          <w:lang w:val="hr-HR"/>
        </w:rPr>
        <w:t>KLASA</w:t>
      </w:r>
      <w:r>
        <w:rPr>
          <w:rFonts w:eastAsia="Calibri" w:cs="Times New Roman"/>
          <w:b/>
          <w:color w:val="000000"/>
          <w:szCs w:val="24"/>
          <w:lang w:val="hr-HR"/>
        </w:rPr>
        <w:t>:</w:t>
      </w:r>
      <w:r>
        <w:rPr>
          <w:rFonts w:eastAsia="Calibri" w:cs="Times New Roman"/>
          <w:color w:val="000000"/>
          <w:szCs w:val="24"/>
          <w:lang w:val="hr-HR"/>
        </w:rPr>
        <w:t xml:space="preserve"> 400-01/23-01/01</w:t>
      </w:r>
    </w:p>
    <w:p>
      <w:pPr>
        <w:pStyle w:val="Normal"/>
        <w:bidi w:val="0"/>
        <w:jc w:val="both"/>
        <w:rPr>
          <w:color w:val="000000"/>
        </w:rPr>
      </w:pPr>
      <w:r>
        <w:rPr>
          <w:rFonts w:eastAsia="Calibri" w:cs="Times New Roman"/>
          <w:b/>
          <w:color w:val="000000"/>
          <w:szCs w:val="24"/>
          <w:lang w:val="hr-HR"/>
        </w:rPr>
        <w:t xml:space="preserve">URBROJ: </w:t>
      </w:r>
      <w:r>
        <w:rPr>
          <w:rFonts w:eastAsia="Calibri" w:cs="Times New Roman"/>
          <w:color w:val="000000"/>
          <w:szCs w:val="24"/>
          <w:lang w:val="hr-HR"/>
        </w:rPr>
        <w:t>2196-19-02-23-18</w:t>
      </w:r>
    </w:p>
    <w:p>
      <w:pPr>
        <w:pStyle w:val="Normal"/>
        <w:bidi w:val="0"/>
        <w:jc w:val="both"/>
        <w:rPr>
          <w:rFonts w:eastAsia="Calibri" w:cs="Times New Roman"/>
          <w:szCs w:val="24"/>
          <w:lang w:val="hr-HR"/>
        </w:rPr>
      </w:pPr>
      <w:r>
        <w:rPr>
          <w:rFonts w:eastAsia="Calibri" w:cs="Times New Roman"/>
          <w:b/>
          <w:szCs w:val="24"/>
          <w:lang w:val="hr-HR"/>
        </w:rPr>
        <w:t>Negoslavci,</w:t>
      </w:r>
      <w:r>
        <w:rPr>
          <w:rFonts w:eastAsia="Calibri" w:cs="Times New Roman"/>
          <w:szCs w:val="24"/>
          <w:lang w:val="hr-HR"/>
        </w:rPr>
        <w:t xml:space="preserve"> 28.12.2023. godine</w:t>
      </w:r>
    </w:p>
    <w:p>
      <w:pPr>
        <w:pStyle w:val="Normal"/>
        <w:bidi w:val="0"/>
        <w:jc w:val="left"/>
        <w:rPr>
          <w:rFonts w:eastAsia="Times New Roman" w:cs="Times New Roman"/>
          <w:szCs w:val="24"/>
          <w:lang w:val="hr-HR" w:eastAsia="hr-HR"/>
        </w:rPr>
      </w:pPr>
      <w:r>
        <w:rPr>
          <w:rFonts w:eastAsia="Times New Roman" w:cs="Times New Roman"/>
          <w:szCs w:val="24"/>
          <w:lang w:val="hr-HR" w:eastAsia="hr-HR"/>
        </w:rPr>
      </w:r>
    </w:p>
    <w:p>
      <w:pPr>
        <w:pStyle w:val="Normal"/>
        <w:bidi w:val="0"/>
        <w:jc w:val="both"/>
        <w:rPr>
          <w:rFonts w:eastAsia="Calibri" w:cs="Times New Roman"/>
          <w:szCs w:val="24"/>
          <w:lang w:val="hr-HR"/>
        </w:rPr>
      </w:pPr>
      <w:r>
        <w:rPr>
          <w:rFonts w:eastAsia="Calibri" w:cs="Times New Roman"/>
          <w:szCs w:val="24"/>
          <w:lang w:val="hr-HR"/>
        </w:rPr>
        <w:tab/>
        <w:t xml:space="preserve">Na temelju članka 76. Zakona o sportu („Narodne novine“ broj 141/22) i članka 19., stavka 1., točke 2. Statuta Općine Negoslavci („Službeni glasnik Općine Negoslavci” broj 1/21 </w:t>
      </w:r>
      <w:r>
        <w:rPr>
          <w:rFonts w:eastAsia="Calibri" w:cs="Times New Roman"/>
          <w:szCs w:val="24"/>
          <w:lang w:val="hr-HR"/>
        </w:rPr>
        <w:t>i 7/23</w:t>
      </w:r>
      <w:r>
        <w:rPr>
          <w:rFonts w:eastAsia="Calibri" w:cs="Times New Roman"/>
          <w:szCs w:val="24"/>
          <w:lang w:val="hr-HR"/>
        </w:rPr>
        <w:t>) Općinsko vijeće Općine Negoslavci na svojoj redovnoj sjednici održanoj dana 28.12.2023. godine donosi</w:t>
      </w:r>
    </w:p>
    <w:p>
      <w:pPr>
        <w:pStyle w:val="Normal"/>
        <w:bidi w:val="0"/>
        <w:jc w:val="both"/>
        <w:rPr>
          <w:rFonts w:eastAsia="Calibri" w:cs="Times New Roman"/>
          <w:szCs w:val="24"/>
          <w:lang w:val="hr-HR"/>
        </w:rPr>
      </w:pPr>
      <w:r>
        <w:rPr>
          <w:rFonts w:eastAsia="Calibri" w:cs="Times New Roman"/>
          <w:szCs w:val="24"/>
          <w:lang w:val="hr-HR"/>
        </w:rPr>
      </w:r>
    </w:p>
    <w:p>
      <w:pPr>
        <w:pStyle w:val="Normal"/>
        <w:keepNext w:val="true"/>
        <w:numPr>
          <w:ilvl w:val="0"/>
          <w:numId w:val="0"/>
        </w:numPr>
        <w:bidi w:val="0"/>
        <w:ind w:left="0" w:hanging="0"/>
        <w:jc w:val="center"/>
        <w:outlineLvl w:val="0"/>
        <w:rPr>
          <w:rFonts w:eastAsia="Andale Sans UI" w:cs="Times New Roman"/>
          <w:kern w:val="2"/>
          <w:szCs w:val="24"/>
          <w:lang w:val="hr-HR" w:eastAsia="zh-CN"/>
        </w:rPr>
      </w:pPr>
      <w:r>
        <w:rPr>
          <w:rFonts w:eastAsia="Andale Sans UI" w:cs="Times New Roman"/>
          <w:b/>
          <w:bCs/>
          <w:kern w:val="2"/>
          <w:szCs w:val="24"/>
          <w:lang w:val="hr-HR" w:eastAsia="zh-CN"/>
        </w:rPr>
        <w:t xml:space="preserve">Izmjene i dopune </w:t>
      </w:r>
      <w:bookmarkStart w:id="1" w:name="_Toc62727864"/>
      <w:r>
        <w:rPr>
          <w:rFonts w:eastAsia="Andale Sans UI" w:cs="Times New Roman"/>
          <w:b/>
          <w:bCs/>
          <w:kern w:val="2"/>
          <w:szCs w:val="24"/>
          <w:lang w:val="hr-HR" w:eastAsia="zh-CN"/>
        </w:rPr>
        <w:t>Programa javnih potreba u sportu na području Općine Negoslavci za 2023 god</w:t>
      </w:r>
      <w:bookmarkEnd w:id="1"/>
      <w:r>
        <w:rPr>
          <w:rFonts w:eastAsia="Andale Sans UI" w:cs="Times New Roman"/>
          <w:b/>
          <w:bCs/>
          <w:kern w:val="2"/>
          <w:szCs w:val="24"/>
          <w:lang w:val="hr-HR" w:eastAsia="zh-CN"/>
        </w:rPr>
        <w:t>inu</w:t>
      </w:r>
    </w:p>
    <w:p>
      <w:pPr>
        <w:pStyle w:val="Normal"/>
        <w:numPr>
          <w:ilvl w:val="0"/>
          <w:numId w:val="0"/>
        </w:numPr>
        <w:bidi w:val="0"/>
        <w:ind w:left="0" w:hanging="0"/>
        <w:jc w:val="center"/>
        <w:outlineLvl w:val="0"/>
        <w:rPr>
          <w:rFonts w:eastAsia="Andale Sans UI" w:cs="Times New Roman"/>
          <w:kern w:val="2"/>
          <w:szCs w:val="24"/>
          <w:lang w:val="hr-HR" w:eastAsia="zh-CN"/>
        </w:rPr>
      </w:pPr>
      <w:r>
        <w:rPr>
          <w:rFonts w:eastAsia="Andale Sans UI" w:cs="Times New Roman"/>
          <w:kern w:val="2"/>
          <w:szCs w:val="24"/>
          <w:lang w:val="hr-HR" w:eastAsia="zh-CN"/>
        </w:rPr>
      </w:r>
    </w:p>
    <w:p>
      <w:pPr>
        <w:pStyle w:val="Normal"/>
        <w:widowControl w:val="false"/>
        <w:suppressAutoHyphens w:val="true"/>
        <w:bidi w:val="0"/>
        <w:spacing w:lineRule="exact" w:line="275" w:before="0" w:after="0"/>
        <w:ind w:right="-1" w:hanging="0"/>
        <w:jc w:val="center"/>
        <w:rPr>
          <w:b/>
          <w:b/>
          <w:bCs/>
        </w:rPr>
      </w:pPr>
      <w:r>
        <w:rPr>
          <w:b/>
          <w:bCs/>
        </w:rPr>
        <w:t>I</w:t>
      </w:r>
    </w:p>
    <w:p>
      <w:pPr>
        <w:pStyle w:val="Normal"/>
        <w:widowControl w:val="false"/>
        <w:suppressAutoHyphens w:val="true"/>
        <w:bidi w:val="0"/>
        <w:spacing w:lineRule="exact" w:line="275" w:before="0" w:after="0"/>
        <w:ind w:right="-1" w:hanging="0"/>
        <w:jc w:val="left"/>
        <w:rPr/>
      </w:pPr>
      <w:r>
        <w:rPr/>
        <w:tab/>
        <w:t xml:space="preserve">U Programu javnih potreba u sportu na području Općine Negoslavci za 2023. godinu </w:t>
      </w:r>
      <w:r>
        <w:rPr>
          <w:rFonts w:eastAsia="Calibri" w:cs="Times New Roman"/>
          <w:b w:val="false"/>
          <w:bCs w:val="false"/>
          <w:szCs w:val="24"/>
          <w:lang w:val="hr-HR"/>
        </w:rPr>
        <w:t>(„Službeni glasnik Općine Negoslavci” broj 8/22 i 5/23), mijenja se točka IV i glasi:</w:t>
      </w:r>
    </w:p>
    <w:p>
      <w:pPr>
        <w:pStyle w:val="Normal"/>
        <w:widowControl w:val="false"/>
        <w:suppressAutoHyphens w:val="true"/>
        <w:bidi w:val="0"/>
        <w:spacing w:lineRule="exact" w:line="275" w:before="0" w:after="0"/>
        <w:ind w:right="-1" w:hanging="0"/>
        <w:jc w:val="left"/>
        <w:rPr/>
      </w:pPr>
      <w:r>
        <w:rPr>
          <w:rFonts w:eastAsia="Calibri" w:cs="Times New Roman"/>
          <w:b w:val="false"/>
          <w:bCs w:val="false"/>
          <w:szCs w:val="24"/>
          <w:lang w:val="hr-HR"/>
        </w:rPr>
        <w:tab/>
        <w:t>„</w:t>
      </w:r>
      <w:r>
        <w:rPr>
          <w:rFonts w:eastAsia="Andale Sans UI" w:cs="Times New Roman"/>
          <w:b w:val="false"/>
          <w:bCs w:val="false"/>
          <w:kern w:val="2"/>
          <w:szCs w:val="24"/>
          <w:lang w:val="hr-HR" w:eastAsia="zh-CN"/>
        </w:rPr>
        <w:t>Za provođenje Programa osigurat će se sredstva u proračunu Općine Negoslavci kako slijedi (po fiksnom tečaju konverzije 1,00 EUR=7,53450 KN):</w:t>
      </w:r>
    </w:p>
    <w:tbl>
      <w:tblPr>
        <w:tblW w:w="9410" w:type="dxa"/>
        <w:jc w:val="left"/>
        <w:tblInd w:w="6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4650"/>
        <w:gridCol w:w="4759"/>
      </w:tblGrid>
      <w:tr>
        <w:trPr/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bidi w:val="0"/>
              <w:jc w:val="left"/>
              <w:rPr>
                <w:rFonts w:eastAsia="Times New Roman" w:cs="Times New Roman"/>
                <w:szCs w:val="24"/>
                <w:lang w:val="hr-HR" w:eastAsia="zh-CN"/>
              </w:rPr>
            </w:pPr>
            <w:r>
              <w:rPr>
                <w:rFonts w:eastAsia="Times New Roman" w:cs="Times New Roman"/>
                <w:szCs w:val="24"/>
                <w:lang w:val="hr-HR" w:eastAsia="zh-CN"/>
              </w:rPr>
              <w:t>Sredstva predviđena za programe, projekte i aktivnosti koje provode sportske udruge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bidi w:val="0"/>
              <w:jc w:val="left"/>
              <w:rPr>
                <w:rFonts w:eastAsia="Times New Roman" w:cs="Times New Roman"/>
                <w:szCs w:val="24"/>
                <w:lang w:val="hr-HR" w:eastAsia="zh-CN"/>
              </w:rPr>
            </w:pPr>
            <w:r>
              <w:rPr>
                <w:rFonts w:eastAsia="Times New Roman" w:cs="Times New Roman"/>
                <w:color w:val="000000"/>
                <w:szCs w:val="24"/>
                <w:lang w:val="hr-HR" w:eastAsia="zh-CN"/>
              </w:rPr>
              <w:t xml:space="preserve"> </w:t>
            </w:r>
            <w:r>
              <w:rPr>
                <w:rFonts w:eastAsia="Times New Roman" w:cs="Times New Roman"/>
                <w:color w:val="000000"/>
                <w:szCs w:val="24"/>
                <w:lang w:val="hr-HR" w:eastAsia="zh-CN"/>
              </w:rPr>
              <w:t>518.208,82 KN/68.778,13 EUR</w:t>
            </w:r>
          </w:p>
        </w:tc>
      </w:tr>
      <w:tr>
        <w:trPr/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bidi w:val="0"/>
              <w:jc w:val="left"/>
              <w:rPr>
                <w:rFonts w:eastAsia="Times New Roman" w:cs="Times New Roman"/>
                <w:szCs w:val="24"/>
                <w:lang w:val="hr-HR" w:eastAsia="zh-CN"/>
              </w:rPr>
            </w:pPr>
            <w:r>
              <w:rPr>
                <w:rFonts w:eastAsia="Times New Roman" w:cs="Times New Roman"/>
                <w:szCs w:val="24"/>
                <w:lang w:val="hr-HR" w:eastAsia="zh-CN"/>
              </w:rPr>
              <w:t xml:space="preserve">Sredstva za sufinanciranje radova na objektima  NK Negoslavci 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bidi w:val="0"/>
              <w:jc w:val="left"/>
              <w:rPr>
                <w:color w:val="C9211E"/>
              </w:rPr>
            </w:pPr>
            <w:r>
              <w:rPr>
                <w:rFonts w:eastAsia="Times New Roman" w:cs="Times New Roman"/>
                <w:color w:val="000000"/>
                <w:szCs w:val="24"/>
                <w:lang w:val="hr-HR" w:eastAsia="zh-CN"/>
              </w:rPr>
              <w:t>0,00</w:t>
            </w:r>
          </w:p>
        </w:tc>
      </w:tr>
      <w:tr>
        <w:trPr/>
        <w:tc>
          <w:tcPr>
            <w:tcW w:w="465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bidi w:val="0"/>
              <w:jc w:val="left"/>
              <w:rPr>
                <w:rFonts w:eastAsia="Times New Roman" w:cs="Times New Roman"/>
                <w:szCs w:val="24"/>
                <w:lang w:val="hr-HR" w:eastAsia="zh-CN"/>
              </w:rPr>
            </w:pPr>
            <w:r>
              <w:rPr>
                <w:rFonts w:eastAsia="Times New Roman" w:cs="Times New Roman"/>
                <w:szCs w:val="24"/>
                <w:lang w:val="hr-HR" w:eastAsia="zh-CN"/>
              </w:rPr>
              <w:t>Sredstva za izgradnju malonogometnog igrališta</w:t>
            </w:r>
          </w:p>
        </w:tc>
        <w:tc>
          <w:tcPr>
            <w:tcW w:w="4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bidi w:val="0"/>
              <w:jc w:val="left"/>
              <w:rPr>
                <w:rFonts w:eastAsia="Times New Roman" w:cs="Times New Roman"/>
                <w:szCs w:val="24"/>
                <w:lang w:val="hr-HR" w:eastAsia="zh-CN"/>
              </w:rPr>
            </w:pPr>
            <w:r>
              <w:rPr>
                <w:rFonts w:eastAsia="Times New Roman" w:cs="Times New Roman"/>
                <w:szCs w:val="24"/>
                <w:lang w:val="hr-HR" w:eastAsia="zh-CN"/>
              </w:rPr>
              <w:t>320.000,00 KN/42.471,30 EUR</w:t>
            </w:r>
          </w:p>
        </w:tc>
      </w:tr>
      <w:tr>
        <w:trPr/>
        <w:tc>
          <w:tcPr>
            <w:tcW w:w="465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bidi w:val="0"/>
              <w:jc w:val="left"/>
              <w:rPr>
                <w:rFonts w:eastAsia="Times New Roman" w:cs="Times New Roman"/>
                <w:szCs w:val="24"/>
                <w:lang w:val="hr-HR" w:eastAsia="zh-CN"/>
              </w:rPr>
            </w:pPr>
            <w:r>
              <w:rPr>
                <w:rFonts w:eastAsia="Times New Roman" w:cs="Times New Roman"/>
                <w:szCs w:val="24"/>
                <w:lang w:val="hr-HR" w:eastAsia="zh-CN"/>
              </w:rPr>
              <w:t>SVEUKUPNO</w:t>
            </w:r>
          </w:p>
        </w:tc>
        <w:tc>
          <w:tcPr>
            <w:tcW w:w="4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bidi w:val="0"/>
              <w:jc w:val="left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Cs w:val="24"/>
                <w:lang w:val="hr-HR" w:eastAsia="zh-CN"/>
              </w:rPr>
              <w:t xml:space="preserve"> </w:t>
            </w:r>
            <w:r>
              <w:rPr>
                <w:rFonts w:eastAsia="Times New Roman" w:cs="Times New Roman"/>
                <w:color w:val="000000"/>
                <w:szCs w:val="24"/>
                <w:lang w:val="hr-HR" w:eastAsia="zh-CN"/>
              </w:rPr>
              <w:t>845.743,33 KN/ 111.249,43 EUR</w:t>
            </w:r>
          </w:p>
        </w:tc>
      </w:tr>
    </w:tbl>
    <w:p>
      <w:pPr>
        <w:pStyle w:val="Normal"/>
        <w:bidi w:val="0"/>
        <w:jc w:val="center"/>
        <w:rPr>
          <w:rFonts w:eastAsia="Times New Roman" w:cs="Times New Roman"/>
          <w:b/>
          <w:b/>
          <w:sz w:val="22"/>
          <w:lang w:val="hr-HR" w:eastAsia="hr-HR"/>
        </w:rPr>
      </w:pPr>
      <w:r>
        <w:rPr>
          <w:rFonts w:eastAsia="Times New Roman" w:cs="Times New Roman"/>
          <w:b/>
          <w:sz w:val="22"/>
          <w:lang w:val="hr-HR" w:eastAsia="hr-HR"/>
        </w:rPr>
      </w:r>
    </w:p>
    <w:p>
      <w:pPr>
        <w:pStyle w:val="Normal"/>
        <w:bidi w:val="0"/>
        <w:jc w:val="center"/>
        <w:rPr>
          <w:rFonts w:eastAsia="Times New Roman" w:cs="Times New Roman"/>
          <w:b/>
          <w:b/>
          <w:sz w:val="22"/>
          <w:lang w:val="hr-HR" w:eastAsia="hr-HR"/>
        </w:rPr>
      </w:pPr>
      <w:r>
        <w:rPr>
          <w:rFonts w:eastAsia="Times New Roman" w:cs="Times New Roman"/>
          <w:b/>
          <w:sz w:val="22"/>
          <w:lang w:val="en-AU" w:eastAsia="hr-HR"/>
        </w:rPr>
        <w:t>II</w:t>
      </w:r>
    </w:p>
    <w:p>
      <w:pPr>
        <w:pStyle w:val="Normal"/>
        <w:bidi w:val="0"/>
        <w:jc w:val="left"/>
        <w:rPr>
          <w:rFonts w:eastAsia="Times New Roman" w:cs="Times New Roman"/>
          <w:b/>
          <w:b/>
          <w:sz w:val="22"/>
          <w:lang w:val="hr-HR" w:eastAsia="hr-HR"/>
        </w:rPr>
      </w:pPr>
      <w:r>
        <w:rPr>
          <w:rFonts w:eastAsia="Times New Roman" w:cs="Times New Roman"/>
          <w:b/>
          <w:sz w:val="22"/>
          <w:lang w:val="en-AU" w:eastAsia="hr-HR"/>
        </w:rPr>
        <w:tab/>
      </w:r>
      <w:r>
        <w:rPr>
          <w:rFonts w:eastAsia="Times New Roman" w:cs="Times New Roman"/>
          <w:b w:val="false"/>
          <w:bCs w:val="false"/>
          <w:sz w:val="22"/>
          <w:lang w:val="en-AU" w:eastAsia="hr-HR"/>
        </w:rPr>
        <w:t>Ostale odredbe Programa se ne mijenjaju, niti se dopunjavaju.</w:t>
      </w:r>
    </w:p>
    <w:p>
      <w:pPr>
        <w:pStyle w:val="Normal"/>
        <w:bidi w:val="0"/>
        <w:jc w:val="left"/>
        <w:rPr>
          <w:rFonts w:eastAsia="Times New Roman" w:cs="Times New Roman"/>
          <w:b/>
          <w:b/>
          <w:sz w:val="22"/>
          <w:lang w:val="hr-HR" w:eastAsia="hr-HR"/>
        </w:rPr>
      </w:pPr>
      <w:r>
        <w:rPr>
          <w:rFonts w:eastAsia="Times New Roman" w:cs="Times New Roman"/>
          <w:b/>
          <w:sz w:val="22"/>
          <w:lang w:val="hr-HR" w:eastAsia="hr-HR"/>
        </w:rPr>
      </w:r>
    </w:p>
    <w:p>
      <w:pPr>
        <w:pStyle w:val="Normal"/>
        <w:bidi w:val="0"/>
        <w:jc w:val="center"/>
        <w:rPr>
          <w:rFonts w:eastAsia="Times New Roman" w:cs="Times New Roman"/>
          <w:b/>
          <w:b/>
          <w:sz w:val="22"/>
          <w:lang w:val="hr-HR" w:eastAsia="hr-HR"/>
        </w:rPr>
      </w:pPr>
      <w:r>
        <w:rPr>
          <w:rFonts w:eastAsia="Times New Roman" w:cs="Times New Roman"/>
          <w:b/>
          <w:bCs/>
          <w:i w:val="false"/>
          <w:iCs w:val="false"/>
          <w:sz w:val="22"/>
          <w:lang w:val="en-AU" w:eastAsia="hr-HR"/>
        </w:rPr>
        <w:t>III</w:t>
      </w:r>
    </w:p>
    <w:p>
      <w:pPr>
        <w:pStyle w:val="Normal"/>
        <w:bidi w:val="0"/>
        <w:jc w:val="both"/>
        <w:rPr>
          <w:rFonts w:eastAsia="Times New Roman" w:cs="Times New Roman"/>
          <w:b/>
          <w:b/>
          <w:sz w:val="22"/>
          <w:lang w:val="hr-HR" w:eastAsia="hr-HR"/>
        </w:rPr>
      </w:pPr>
      <w:r>
        <w:rPr>
          <w:rFonts w:eastAsia="Times New Roman" w:cs="Times New Roman"/>
          <w:b w:val="false"/>
          <w:bCs w:val="false"/>
          <w:i w:val="false"/>
          <w:iCs w:val="false"/>
          <w:color w:val="000000" w:themeColor="text1"/>
          <w:sz w:val="22"/>
          <w:szCs w:val="22"/>
          <w:lang w:val="en-AU" w:eastAsia="hr-HR"/>
        </w:rPr>
        <w:tab/>
        <w:t>Izmjene i dopune Programa javnih potreba u sportu na području Općine Negoslavci za 2023. godinu stupaju na snagu dan nakon dana objave u Službenom glasniku Općine Negoslavci.</w:t>
      </w:r>
    </w:p>
    <w:p>
      <w:pPr>
        <w:pStyle w:val="Normal"/>
        <w:bidi w:val="0"/>
        <w:jc w:val="both"/>
        <w:rPr>
          <w:rFonts w:eastAsia="Times New Roman" w:cs="Times New Roman"/>
          <w:b/>
          <w:b/>
          <w:sz w:val="22"/>
          <w:lang w:val="hr-HR" w:eastAsia="hr-HR"/>
        </w:rPr>
      </w:pPr>
      <w:r>
        <w:rPr>
          <w:rFonts w:eastAsia="Times New Roman" w:cs="Times New Roman"/>
          <w:b/>
          <w:sz w:val="22"/>
          <w:lang w:val="hr-HR" w:eastAsia="hr-HR"/>
        </w:rPr>
      </w:r>
    </w:p>
    <w:p>
      <w:pPr>
        <w:pStyle w:val="Normal"/>
        <w:bidi w:val="0"/>
        <w:jc w:val="both"/>
        <w:rPr>
          <w:rFonts w:eastAsia="Times New Roman" w:cs="Times New Roman"/>
          <w:b/>
          <w:b/>
          <w:sz w:val="22"/>
          <w:lang w:val="hr-HR" w:eastAsia="hr-HR"/>
        </w:rPr>
      </w:pPr>
      <w:r>
        <w:rPr>
          <w:rFonts w:eastAsia="Times New Roman" w:cs="Times New Roman"/>
          <w:b/>
          <w:sz w:val="22"/>
          <w:lang w:val="hr-HR" w:eastAsia="hr-HR"/>
        </w:rPr>
      </w:r>
    </w:p>
    <w:p>
      <w:pPr>
        <w:pStyle w:val="Normal"/>
        <w:bidi w:val="0"/>
        <w:spacing w:before="0" w:after="0"/>
        <w:contextualSpacing/>
        <w:jc w:val="right"/>
        <w:rPr>
          <w:sz w:val="22"/>
          <w:szCs w:val="22"/>
        </w:rPr>
      </w:pPr>
      <w:r>
        <w:rPr>
          <w:rFonts w:eastAsia="Calibri" w:cs="Times New Roman"/>
          <w:b/>
          <w:sz w:val="22"/>
          <w:szCs w:val="22"/>
          <w:lang w:val="hr-HR"/>
        </w:rPr>
        <w:t>PREDSJEDNIK OPĆINSKOG VIJEĆA</w:t>
      </w:r>
    </w:p>
    <w:p>
      <w:pPr>
        <w:pStyle w:val="Normal"/>
        <w:bidi w:val="0"/>
        <w:spacing w:before="0" w:after="0"/>
        <w:contextualSpacing/>
        <w:jc w:val="right"/>
        <w:rPr>
          <w:sz w:val="22"/>
          <w:szCs w:val="22"/>
        </w:rPr>
      </w:pPr>
      <w:bookmarkStart w:id="2" w:name="_GoBack1"/>
      <w:bookmarkStart w:id="3" w:name="_GoBack2"/>
      <w:bookmarkEnd w:id="2"/>
      <w:bookmarkEnd w:id="3"/>
      <w:r>
        <w:rPr>
          <w:rFonts w:eastAsia="Calibri"/>
          <w:b w:val="false"/>
          <w:bCs w:val="false"/>
          <w:sz w:val="22"/>
          <w:szCs w:val="22"/>
        </w:rPr>
        <w:t>Miodrag Mišanović</w:t>
      </w:r>
    </w:p>
    <w:p>
      <w:pPr>
        <w:pStyle w:val="Normal"/>
        <w:widowControl w:val="false"/>
        <w:suppressAutoHyphens w:val="true"/>
        <w:bidi w:val="0"/>
        <w:spacing w:lineRule="exact" w:line="275" w:before="203" w:after="0"/>
        <w:ind w:right="-1" w:hanging="0"/>
        <w:jc w:val="center"/>
        <w:rPr>
          <w:rFonts w:eastAsia="Andale Sans UI" w:cs="Times New Roman"/>
          <w:b/>
          <w:b/>
          <w:kern w:val="2"/>
          <w:szCs w:val="24"/>
          <w:lang w:val="hr-HR" w:eastAsia="zh-CN"/>
        </w:rPr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22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hr-H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hr-HR" w:eastAsia="zh-CN" w:bidi="hi-IN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LibreOffice/7.4.1.2$Windows_X86_64 LibreOffice_project/3c58a8f3a960df8bc8fd77b461821e42c061c5f0</Application>
  <AppVersion>15.0000</AppVersion>
  <Pages>1</Pages>
  <Words>199</Words>
  <Characters>1241</Characters>
  <CharactersWithSpaces>1425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2024-01-16T09:54:51Z</dcterms:created>
  <dc:creator/>
  <dc:description/>
  <dc:language>hr-HR</dc:language>
  <cp:lastModifiedBy/>
  <dcterms:modified xsi:type="dcterms:W3CDTF">2024-01-16T12:30:15Z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