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66"/>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atLeast" w:line="0"/>
        <w:jc w:val="center"/>
        <w:rPr>
          <w:rFonts w:ascii="Times New Roman" w:hAnsi="Times New Roman" w:eastAsia="Times New Roman"/>
          <w:i/>
          <w:i/>
          <w:sz w:val="36"/>
          <w:szCs w:val="24"/>
        </w:rPr>
      </w:pPr>
      <w:r>
        <w:rPr>
          <w:rFonts w:eastAsia="Times New Roman" w:ascii="Times New Roman" w:hAnsi="Times New Roman"/>
          <w:i/>
          <w:sz w:val="36"/>
          <w:szCs w:val="24"/>
        </w:rPr>
        <w:t>Obrazloženje proračuna Općine Negoslavci za 2024. godinu</w:t>
      </w:r>
    </w:p>
    <w:p>
      <w:pPr>
        <w:pStyle w:val="Normal"/>
        <w:spacing w:lineRule="atLeast" w:line="0"/>
        <w:jc w:val="center"/>
        <w:rPr>
          <w:rFonts w:ascii="Times New Roman" w:hAnsi="Times New Roman" w:eastAsia="Times New Roman"/>
          <w:i/>
          <w:i/>
          <w:sz w:val="32"/>
          <w:szCs w:val="22"/>
        </w:rPr>
      </w:pPr>
      <w:r>
        <w:rPr>
          <w:rFonts w:eastAsia="Times New Roman" w:ascii="Times New Roman" w:hAnsi="Times New Roman"/>
          <w:i/>
          <w:sz w:val="32"/>
          <w:szCs w:val="22"/>
        </w:rPr>
      </w:r>
    </w:p>
    <w:p>
      <w:pPr>
        <w:pStyle w:val="Normal"/>
        <w:spacing w:lineRule="exact" w:line="203"/>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atLeast" w:line="0"/>
        <w:ind w:right="-80" w:hanging="0"/>
        <w:jc w:val="center"/>
        <w:rPr>
          <w:rFonts w:ascii="Times New Roman" w:hAnsi="Times New Roman" w:eastAsia="Times New Roman"/>
          <w:i/>
          <w:i/>
          <w:sz w:val="36"/>
          <w:szCs w:val="22"/>
        </w:rPr>
      </w:pPr>
      <w:r>
        <w:rPr>
          <w:rFonts w:eastAsia="Times New Roman" w:ascii="Times New Roman" w:hAnsi="Times New Roman"/>
          <w:i/>
          <w:sz w:val="36"/>
          <w:szCs w:val="22"/>
        </w:rPr>
        <w:t>i</w:t>
      </w:r>
    </w:p>
    <w:p>
      <w:pPr>
        <w:pStyle w:val="Normal"/>
        <w:spacing w:lineRule="exact" w:line="201"/>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atLeast" w:line="0"/>
        <w:jc w:val="center"/>
        <w:rPr>
          <w:rFonts w:ascii="Times New Roman" w:hAnsi="Times New Roman" w:eastAsia="Times New Roman"/>
          <w:i/>
          <w:i/>
          <w:sz w:val="36"/>
          <w:szCs w:val="22"/>
        </w:rPr>
      </w:pPr>
      <w:r>
        <w:rPr>
          <w:rFonts w:eastAsia="Times New Roman" w:ascii="Times New Roman" w:hAnsi="Times New Roman"/>
          <w:i/>
          <w:sz w:val="36"/>
          <w:szCs w:val="22"/>
        </w:rPr>
        <w:t>Projekcije za 2025. i 2026. godinu</w:t>
      </w:r>
    </w:p>
    <w:p>
      <w:pPr>
        <w:pStyle w:val="Normal"/>
        <w:spacing w:lineRule="exact" w:line="20"/>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exact" w:line="200"/>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exact" w:line="200"/>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exact" w:line="200"/>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exact" w:line="200"/>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exact" w:line="200"/>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exact" w:line="200"/>
        <w:rPr>
          <w:rFonts w:ascii="Times New Roman" w:hAnsi="Times New Roman" w:eastAsia="Times New Roman"/>
          <w:sz w:val="28"/>
          <w:szCs w:val="22"/>
        </w:rPr>
      </w:pPr>
      <w:r>
        <w:rPr>
          <w:rFonts w:eastAsia="Times New Roman" w:ascii="Times New Roman" w:hAnsi="Times New Roman"/>
          <w:sz w:val="28"/>
          <w:szCs w:val="22"/>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exact" w:line="200"/>
        <w:rPr>
          <w:rFonts w:ascii="Times New Roman" w:hAnsi="Times New Roman" w:eastAsia="Times New Roman"/>
          <w:sz w:val="24"/>
        </w:rPr>
      </w:pPr>
      <w:r>
        <w:rPr>
          <w:rFonts w:eastAsia="Times New Roman" w:ascii="Times New Roman" w:hAnsi="Times New Roman"/>
          <w:sz w:val="24"/>
        </w:rPr>
      </w:r>
    </w:p>
    <w:p>
      <w:pPr>
        <w:pStyle w:val="Normal"/>
        <w:spacing w:lineRule="auto" w:line="36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jc w:val="both"/>
        <w:rPr>
          <w:rFonts w:ascii="Times New Roman" w:hAnsi="Times New Roman" w:cs="Times New Roman"/>
          <w:sz w:val="24"/>
          <w:szCs w:val="24"/>
        </w:rPr>
      </w:pPr>
      <w:r>
        <w:rPr>
          <w:rFonts w:cs="Times New Roman" w:ascii="Times New Roman" w:hAnsi="Times New Roman"/>
          <w:sz w:val="24"/>
          <w:szCs w:val="24"/>
        </w:rPr>
        <w:tab/>
        <w:t>Sukladno odredbama Zakona o proračunu („Narodne novine“, broj 144/21), koje se odnose na izradu i donošenje Proračuna, predstavničko tijelo jedinice lokalne i područne (regionalne) samouprave, na prijedlog izvršnog tijela, donosi do kraja prosinca tekuće godine proračun za iduću proračunsku godinu i projekcije za sljedeće dvije godine, stoga je  izrađen je Proračun za 2024. godinu i projekcije za 2025. i 2026. godinu.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Metodologija za izradu proračuna jedinice lokalne i područne (regionalne) samouprave  propisana je Zakonom o proračunu („Narodne novine“, broj 144/21) i podzakonskim aktima kojima se regulira provedba Zakona, ponajprije Pravilnikom o proračunskim klasifikacijama i Pravilnikom o proračunskom računovodstvu i računskom planu.</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Proračun se sastoji od općeg i posebnog dijela te plana razvojnih programa. Posebni dio Proračuna sastoji se od rashoda i izdataka raspoređenih po programima (aktivnostima i projektima) unutar razdjela/glava definiranih u skladu s organizacijskom klasifikacijom Proračuna. Stoga su sve aktivnosti i projekti raspoređeni u odnosu na program odnosno funkciju. Plan razvojnih programa sadrži ciljeve i prioritete razvoja Općine Negoslavci povezane s programskom i organizacijskom klasifikacijom proračuna.</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Proračun Općine Negoslavci za 2024. godinu temelji se na ranije usvojenoj projekciji uz određena odstupanja u odnosu na projekciju uvjetovana izmjenama zakonskih okvira, kao i dinamikom realizacije planiranih aktivnosti i projekata.</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Prilikom izrade proračuna naglasak smo stavili na razvoj i zadržavanje standarda javnih potreba mještana, osobito u segmentu socijalnih prava i zaštite naše općine.</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t>Osigurali smo značajna sredstva za investicije koje će nam u narednim godinama donijeti prihode koji će omogućiti bolji standard svim našim mještanima</w:t>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20"/>
        <w:ind w:firstLine="708"/>
        <w:jc w:val="both"/>
        <w:rPr>
          <w:rFonts w:ascii="Times New Roman" w:hAnsi="Times New Roman" w:cs="Times New Roman"/>
          <w:b/>
          <w:b/>
          <w:bCs/>
          <w:sz w:val="24"/>
          <w:szCs w:val="24"/>
        </w:rPr>
      </w:pPr>
      <w:r>
        <w:rPr>
          <w:rFonts w:cs="Times New Roman" w:ascii="Times New Roman" w:hAnsi="Times New Roman"/>
          <w:b/>
          <w:bCs/>
          <w:sz w:val="24"/>
          <w:szCs w:val="24"/>
        </w:rPr>
        <w:t xml:space="preserve">PRIHODI </w:t>
      </w:r>
    </w:p>
    <w:p>
      <w:pPr>
        <w:pStyle w:val="Normal"/>
        <w:spacing w:lineRule="auto" w:line="228"/>
        <w:ind w:left="120" w:right="20" w:hanging="0"/>
        <w:jc w:val="both"/>
        <w:rPr>
          <w:rFonts w:ascii="Times New Roman" w:hAnsi="Times New Roman" w:eastAsia="Times New Roman"/>
          <w:sz w:val="24"/>
          <w:szCs w:val="24"/>
        </w:rPr>
      </w:pPr>
      <w:r>
        <w:rPr>
          <w:rFonts w:eastAsia="Times New Roman" w:ascii="Times New Roman" w:hAnsi="Times New Roman"/>
          <w:sz w:val="24"/>
          <w:szCs w:val="24"/>
        </w:rPr>
        <w:t xml:space="preserve">Planirani prihodi i primici Proračuna Općine Negoslavci za 2024. godinu iznose </w:t>
      </w:r>
      <w:r>
        <w:rPr>
          <w:rFonts w:eastAsia="Times New Roman" w:ascii="Times New Roman" w:hAnsi="Times New Roman"/>
          <w:b/>
          <w:bCs/>
          <w:sz w:val="24"/>
          <w:szCs w:val="24"/>
        </w:rPr>
        <w:t>2.059.987,00</w:t>
      </w:r>
      <w:r>
        <w:rPr>
          <w:rFonts w:eastAsia="Times New Roman" w:ascii="Times New Roman" w:hAnsi="Times New Roman"/>
          <w:b/>
          <w:sz w:val="24"/>
          <w:szCs w:val="24"/>
        </w:rPr>
        <w:t xml:space="preserve"> eura</w:t>
      </w:r>
      <w:r>
        <w:rPr>
          <w:rFonts w:eastAsia="Times New Roman" w:ascii="Times New Roman" w:hAnsi="Times New Roman"/>
          <w:sz w:val="24"/>
          <w:szCs w:val="24"/>
        </w:rPr>
        <w:t>, od čega najznačajniji prihodi u Proračunu su:</w:t>
      </w:r>
    </w:p>
    <w:p>
      <w:pPr>
        <w:pStyle w:val="Normal"/>
        <w:spacing w:lineRule="exact" w:line="275"/>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ind w:left="120" w:hanging="0"/>
        <w:rPr>
          <w:rFonts w:ascii="Times New Roman" w:hAnsi="Times New Roman" w:eastAsia="Times New Roman"/>
          <w:sz w:val="24"/>
          <w:szCs w:val="24"/>
        </w:rPr>
      </w:pPr>
      <w:r>
        <w:rPr>
          <w:rFonts w:eastAsia="Times New Roman" w:ascii="Times New Roman" w:hAnsi="Times New Roman"/>
          <w:sz w:val="24"/>
          <w:szCs w:val="24"/>
        </w:rPr>
        <w:t xml:space="preserve">Prihodi od poreza iz skupine 61 iznose </w:t>
      </w:r>
      <w:r>
        <w:rPr>
          <w:rFonts w:eastAsia="Times New Roman" w:ascii="Times New Roman" w:hAnsi="Times New Roman"/>
          <w:b/>
          <w:sz w:val="24"/>
          <w:szCs w:val="24"/>
        </w:rPr>
        <w:t>217.000,00</w:t>
      </w:r>
      <w:r>
        <w:rPr>
          <w:rFonts w:eastAsia="Times New Roman" w:ascii="Times New Roman" w:hAnsi="Times New Roman"/>
          <w:sz w:val="24"/>
          <w:szCs w:val="24"/>
        </w:rPr>
        <w:t xml:space="preserve"> eura a sastoje se od:</w:t>
      </w:r>
    </w:p>
    <w:p>
      <w:pPr>
        <w:pStyle w:val="Normal"/>
        <w:spacing w:lineRule="atLeast" w:line="0"/>
        <w:ind w:left="120" w:hanging="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ab/>
        <w:t>Porez i prirez na dohodak</w:t>
        <w:tab/>
        <w:tab/>
        <w:tab/>
        <w:t xml:space="preserve">    </w:t>
        <w:tab/>
        <w:tab/>
        <w:t xml:space="preserve">       194.000,00 eura</w:t>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ab/>
        <w:t>Porez na imovinu</w:t>
        <w:tab/>
        <w:tab/>
        <w:tab/>
        <w:tab/>
        <w:t xml:space="preserve">                                22.000,00 eura</w:t>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ab/>
        <w:t>Porezi na robu i usluge</w:t>
        <w:tab/>
        <w:tab/>
        <w:t xml:space="preserve">                                             1.000,00 eura</w:t>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jc w:val="both"/>
        <w:rPr>
          <w:rFonts w:ascii="Times New Roman" w:hAnsi="Times New Roman" w:eastAsia="Times New Roman"/>
          <w:sz w:val="24"/>
          <w:szCs w:val="24"/>
        </w:rPr>
      </w:pPr>
      <w:r>
        <w:rPr>
          <w:rFonts w:eastAsia="Times New Roman" w:ascii="Times New Roman" w:hAnsi="Times New Roman"/>
          <w:sz w:val="24"/>
          <w:szCs w:val="24"/>
        </w:rPr>
        <w:t xml:space="preserve">Pomoći iz inozemstva i od subjekata unutar općeg proračuna iz skupine 63 iznose </w:t>
      </w:r>
      <w:r>
        <w:rPr>
          <w:rFonts w:eastAsia="Times New Roman" w:ascii="Times New Roman" w:hAnsi="Times New Roman"/>
          <w:b/>
          <w:bCs/>
          <w:sz w:val="24"/>
          <w:szCs w:val="24"/>
        </w:rPr>
        <w:t xml:space="preserve">1.721.280,00 eura </w:t>
      </w:r>
      <w:r>
        <w:rPr>
          <w:rFonts w:eastAsia="Times New Roman" w:ascii="Times New Roman" w:hAnsi="Times New Roman"/>
          <w:sz w:val="24"/>
          <w:szCs w:val="24"/>
        </w:rPr>
        <w:t>te se sastoje od:</w:t>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ab/>
        <w:t xml:space="preserve">Pomoći iz proračuna                        </w:t>
        <w:tab/>
        <w:tab/>
        <w:tab/>
        <w:tab/>
        <w:tab/>
        <w:t xml:space="preserve">  418.280,00 eura</w:t>
      </w:r>
    </w:p>
    <w:p>
      <w:pPr>
        <w:pStyle w:val="Normal"/>
        <w:spacing w:lineRule="atLeast" w:line="0"/>
        <w:rPr>
          <w:rFonts w:ascii="Times New Roman" w:hAnsi="Times New Roman" w:eastAsia="Times New Roman"/>
          <w:color w:val="FF0000"/>
          <w:sz w:val="24"/>
          <w:szCs w:val="24"/>
        </w:rPr>
      </w:pPr>
      <w:r>
        <w:rPr>
          <w:rFonts w:eastAsia="Times New Roman" w:ascii="Times New Roman" w:hAnsi="Times New Roman"/>
          <w:color w:val="FF0000"/>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color w:val="FF0000"/>
          <w:sz w:val="24"/>
          <w:szCs w:val="24"/>
        </w:rPr>
        <w:tab/>
      </w:r>
      <w:r>
        <w:rPr>
          <w:rFonts w:eastAsia="Times New Roman" w:ascii="Times New Roman" w:hAnsi="Times New Roman"/>
          <w:sz w:val="24"/>
          <w:szCs w:val="24"/>
        </w:rPr>
        <w:t>Pomoći od ostalih subjekata unutar općeg proračuna</w:t>
        <w:tab/>
        <w:t xml:space="preserve">               33.000,00 eura</w:t>
      </w:r>
    </w:p>
    <w:p>
      <w:pPr>
        <w:pStyle w:val="Normal"/>
        <w:spacing w:lineRule="atLeast" w:line="0"/>
        <w:rPr>
          <w:rFonts w:ascii="Times New Roman" w:hAnsi="Times New Roman" w:eastAsia="Times New Roman"/>
          <w:color w:val="FF0000"/>
          <w:sz w:val="24"/>
          <w:szCs w:val="24"/>
        </w:rPr>
      </w:pPr>
      <w:r>
        <w:rPr>
          <w:rFonts w:eastAsia="Times New Roman" w:ascii="Times New Roman" w:hAnsi="Times New Roman"/>
          <w:color w:val="FF0000"/>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ab/>
        <w:t>Pomoći temeljem prijenosa EU sredstava</w:t>
        <w:tab/>
        <w:tab/>
        <w:t xml:space="preserve">  </w:t>
        <w:tab/>
        <w:t xml:space="preserve">               1.270.000,00 eura</w:t>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 xml:space="preserve">Prihodi od imovine iz skupine 64 iznose od </w:t>
      </w:r>
      <w:r>
        <w:rPr>
          <w:rFonts w:eastAsia="Times New Roman" w:ascii="Times New Roman" w:hAnsi="Times New Roman"/>
          <w:b/>
          <w:sz w:val="24"/>
          <w:szCs w:val="24"/>
        </w:rPr>
        <w:t>4.190,00 eura</w:t>
      </w:r>
      <w:r>
        <w:rPr>
          <w:rFonts w:eastAsia="Times New Roman" w:ascii="Times New Roman" w:hAnsi="Times New Roman"/>
          <w:sz w:val="24"/>
          <w:szCs w:val="24"/>
        </w:rPr>
        <w:t xml:space="preserve"> te se sastoje od:</w:t>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ab/>
        <w:t>Prihodi od kamata</w:t>
        <w:tab/>
        <w:tab/>
        <w:tab/>
        <w:tab/>
        <w:tab/>
        <w:t xml:space="preserve">                         50,00 eura</w:t>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tLeast" w:line="0"/>
        <w:rPr>
          <w:rFonts w:ascii="Times New Roman" w:hAnsi="Times New Roman" w:eastAsia="Times New Roman"/>
          <w:sz w:val="24"/>
          <w:szCs w:val="24"/>
        </w:rPr>
      </w:pPr>
      <w:r>
        <w:rPr>
          <w:rFonts w:eastAsia="Times New Roman" w:ascii="Times New Roman" w:hAnsi="Times New Roman"/>
          <w:sz w:val="24"/>
          <w:szCs w:val="24"/>
        </w:rPr>
        <w:tab/>
        <w:t>Prihodi od nefinancijske imovine</w:t>
        <w:tab/>
        <w:tab/>
        <w:t xml:space="preserve">                                     4.140,00 eura</w:t>
      </w:r>
    </w:p>
    <w:p>
      <w:pPr>
        <w:pStyle w:val="Normal"/>
        <w:spacing w:lineRule="exact" w:line="200"/>
        <w:rPr>
          <w:rFonts w:ascii="Times New Roman" w:hAnsi="Times New Roman" w:eastAsia="Times New Roman"/>
          <w:color w:val="FF0000"/>
          <w:sz w:val="24"/>
          <w:szCs w:val="24"/>
        </w:rPr>
      </w:pPr>
      <w:r>
        <w:rPr>
          <w:rFonts w:eastAsia="Times New Roman" w:ascii="Times New Roman" w:hAnsi="Times New Roman"/>
          <w:color w:val="FF0000"/>
          <w:sz w:val="24"/>
          <w:szCs w:val="24"/>
        </w:rPr>
      </w:r>
    </w:p>
    <w:p>
      <w:pPr>
        <w:pStyle w:val="Normal"/>
        <w:spacing w:lineRule="exact" w:line="259"/>
        <w:rPr>
          <w:rFonts w:ascii="Times New Roman" w:hAnsi="Times New Roman" w:eastAsia="Times New Roman"/>
          <w:color w:val="FF0000"/>
          <w:sz w:val="24"/>
          <w:szCs w:val="24"/>
        </w:rPr>
      </w:pPr>
      <w:r>
        <w:rPr>
          <w:rFonts w:eastAsia="Times New Roman" w:ascii="Times New Roman" w:hAnsi="Times New Roman"/>
          <w:color w:val="FF0000"/>
          <w:sz w:val="24"/>
          <w:szCs w:val="24"/>
        </w:rPr>
      </w:r>
    </w:p>
    <w:p>
      <w:pPr>
        <w:pStyle w:val="Normal"/>
        <w:spacing w:lineRule="auto" w:line="228"/>
        <w:ind w:right="20" w:hanging="0"/>
        <w:jc w:val="both"/>
        <w:rPr>
          <w:rFonts w:ascii="Times New Roman" w:hAnsi="Times New Roman" w:eastAsia="Times New Roman"/>
          <w:sz w:val="24"/>
          <w:szCs w:val="24"/>
        </w:rPr>
      </w:pPr>
      <w:r>
        <w:rPr>
          <w:rFonts w:eastAsia="Times New Roman" w:ascii="Times New Roman" w:hAnsi="Times New Roman"/>
          <w:sz w:val="24"/>
          <w:szCs w:val="24"/>
        </w:rPr>
        <w:t xml:space="preserve">Prihodi od prodaje robe i usluga iz skupine 65 iznose </w:t>
      </w:r>
      <w:r>
        <w:rPr>
          <w:rFonts w:eastAsia="Times New Roman" w:ascii="Times New Roman" w:hAnsi="Times New Roman"/>
          <w:b/>
          <w:sz w:val="24"/>
          <w:szCs w:val="24"/>
        </w:rPr>
        <w:t>17.517,00 eura</w:t>
      </w:r>
      <w:r>
        <w:rPr>
          <w:rFonts w:eastAsia="Times New Roman" w:ascii="Times New Roman" w:hAnsi="Times New Roman"/>
          <w:sz w:val="24"/>
          <w:szCs w:val="24"/>
        </w:rPr>
        <w:t xml:space="preserve"> koji se sastoje od:</w:t>
      </w:r>
    </w:p>
    <w:p>
      <w:pPr>
        <w:pStyle w:val="Normal"/>
        <w:spacing w:lineRule="auto" w:line="228"/>
        <w:ind w:left="120" w:right="20"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tab/>
        <w:t>Administrativne (upravne) pristojbe</w:t>
        <w:tab/>
        <w:tab/>
        <w:t xml:space="preserve">                                          1.600,00 eura</w:t>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tab/>
        <w:t>Prihodi po posebnim propisima</w:t>
        <w:tab/>
        <w:tab/>
        <w:tab/>
        <w:tab/>
        <w:t xml:space="preserve">     </w:t>
        <w:tab/>
        <w:t xml:space="preserve">       117,00 eura</w:t>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tab/>
        <w:t>Komunalni doprinosi i druge naknade</w:t>
        <w:tab/>
        <w:tab/>
        <w:tab/>
        <w:tab/>
        <w:t xml:space="preserve">       15.800,00 eura</w:t>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exact" w:line="259"/>
        <w:rPr>
          <w:rFonts w:ascii="Times New Roman" w:hAnsi="Times New Roman" w:eastAsia="Times New Roman"/>
          <w:color w:val="FF0000"/>
          <w:sz w:val="24"/>
          <w:szCs w:val="24"/>
        </w:rPr>
      </w:pPr>
      <w:r>
        <w:rPr>
          <w:rFonts w:eastAsia="Times New Roman" w:ascii="Times New Roman" w:hAnsi="Times New Roman"/>
          <w:color w:val="FF0000"/>
          <w:sz w:val="24"/>
          <w:szCs w:val="24"/>
        </w:rPr>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t xml:space="preserve">Prihod od donacija iz skupine 66 iznose </w:t>
      </w:r>
      <w:r>
        <w:rPr>
          <w:rFonts w:eastAsia="Times New Roman" w:ascii="Times New Roman" w:hAnsi="Times New Roman"/>
          <w:b/>
          <w:bCs/>
          <w:sz w:val="24"/>
          <w:szCs w:val="24"/>
        </w:rPr>
        <w:t>100.000,00 eura</w:t>
      </w:r>
      <w:r>
        <w:rPr>
          <w:rFonts w:eastAsia="Times New Roman" w:ascii="Times New Roman" w:hAnsi="Times New Roman"/>
          <w:sz w:val="24"/>
          <w:szCs w:val="24"/>
        </w:rPr>
        <w:t>.</w:t>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28"/>
        <w:ind w:right="20" w:hanging="0"/>
        <w:rPr>
          <w:rFonts w:ascii="Times New Roman" w:hAnsi="Times New Roman" w:eastAsia="Times New Roman"/>
          <w:sz w:val="24"/>
          <w:szCs w:val="24"/>
        </w:rPr>
      </w:pPr>
      <w:r>
        <w:rPr>
          <w:rFonts w:eastAsia="Times New Roman" w:ascii="Times New Roman" w:hAnsi="Times New Roman"/>
          <w:sz w:val="24"/>
          <w:szCs w:val="24"/>
        </w:rPr>
        <w:tab/>
        <w:t>Donacije od pravnih i fizičkih osoba izvan proračuna                          100.000,00 eura</w:t>
      </w:r>
    </w:p>
    <w:p>
      <w:pPr>
        <w:pStyle w:val="Normal"/>
        <w:spacing w:lineRule="auto" w:line="228"/>
        <w:ind w:right="20" w:hanging="0"/>
        <w:rPr>
          <w:rFonts w:ascii="Times New Roman" w:hAnsi="Times New Roman" w:eastAsia="Times New Roman"/>
          <w:sz w:val="24"/>
        </w:rPr>
      </w:pPr>
      <w:r>
        <w:rPr>
          <w:rFonts w:eastAsia="Times New Roman" w:ascii="Times New Roman" w:hAnsi="Times New Roman"/>
          <w:sz w:val="24"/>
        </w:rPr>
      </w:r>
    </w:p>
    <w:p>
      <w:pPr>
        <w:pStyle w:val="Normal"/>
        <w:spacing w:lineRule="auto" w:line="228"/>
        <w:ind w:right="20" w:hanging="0"/>
        <w:rPr>
          <w:rFonts w:ascii="Times New Roman" w:hAnsi="Times New Roman" w:eastAsia="Times New Roman"/>
          <w:color w:val="FF0000"/>
          <w:sz w:val="24"/>
        </w:rPr>
      </w:pPr>
      <w:r>
        <w:rPr>
          <w:rFonts w:eastAsia="Times New Roman" w:ascii="Times New Roman" w:hAnsi="Times New Roman"/>
          <w:color w:val="FF0000"/>
          <w:sz w:val="24"/>
        </w:rPr>
      </w:r>
    </w:p>
    <w:p>
      <w:pPr>
        <w:pStyle w:val="Normal"/>
        <w:ind w:firstLine="720"/>
        <w:jc w:val="both"/>
        <w:rPr>
          <w:rFonts w:ascii="Times New Roman" w:hAnsi="Times New Roman" w:cs="Times New Roman"/>
          <w:sz w:val="24"/>
          <w:szCs w:val="24"/>
        </w:rPr>
      </w:pPr>
      <w:r>
        <w:rPr>
          <w:rFonts w:eastAsia="Times New Roman" w:cs="Times New Roman" w:ascii="Times New Roman" w:hAnsi="Times New Roman"/>
          <w:sz w:val="24"/>
          <w:szCs w:val="24"/>
        </w:rPr>
        <w:t xml:space="preserve">Prilikom planiranja prihoda za 2024. godinu uzeta je u obzir realizacija istih u 2023. godini. S obzirom na niz nepoznanica o mogućem utjecaju najavljenih izmjena propisa kao i zbog neizvjesnosti u odnosu na realne mogućnosti naplate naknada te pomoći iz domaćih i EU izvora, procjena prihoda za ovo razdoblje od 2024. do 2026. godine se najvećim dijelom temelji na podacima o realizaciji prihoda u tekućem razdoblju i postojećim propisima uz uvažavanje </w:t>
      </w:r>
      <w:r>
        <w:rPr>
          <w:rFonts w:cs="Times New Roman" w:ascii="Times New Roman" w:hAnsi="Times New Roman"/>
          <w:sz w:val="24"/>
          <w:szCs w:val="24"/>
        </w:rPr>
        <w:t xml:space="preserve">Uputa Ministarstva financija za izradu proračuna jedinica lokalne i područne (regionalne) samouprave za razdoblje 2024. – 2026. godine. </w:t>
      </w:r>
    </w:p>
    <w:p>
      <w:pPr>
        <w:sectPr>
          <w:type w:val="nextPage"/>
          <w:pgSz w:w="11906" w:h="16838"/>
          <w:pgMar w:left="1300" w:right="1379" w:gutter="0" w:header="0" w:top="1408" w:footer="0" w:bottom="1440"/>
          <w:pgNumType w:fmt="decimal"/>
          <w:formProt w:val="false"/>
          <w:textDirection w:val="lrTb"/>
          <w:docGrid w:type="default" w:linePitch="100" w:charSpace="0"/>
        </w:sectPr>
      </w:pPr>
    </w:p>
    <w:p>
      <w:pPr>
        <w:pStyle w:val="Normal"/>
        <w:spacing w:lineRule="exact" w:line="134"/>
        <w:rPr>
          <w:rFonts w:ascii="Times New Roman" w:hAnsi="Times New Roman" w:eastAsia="Times New Roman"/>
          <w:color w:val="FF0000"/>
        </w:rPr>
      </w:pPr>
      <w:r>
        <w:rPr>
          <w:rFonts w:eastAsia="Times New Roman" w:ascii="Times New Roman" w:hAnsi="Times New Roman"/>
          <w:color w:val="FF0000"/>
        </w:rPr>
      </w:r>
    </w:p>
    <w:p>
      <w:pPr>
        <w:pStyle w:val="Normal"/>
        <w:spacing w:lineRule="atLeast" w:line="0"/>
        <w:ind w:right="40" w:hanging="0"/>
        <w:jc w:val="right"/>
        <w:rPr>
          <w:rFonts w:ascii="Times New Roman" w:hAnsi="Times New Roman" w:eastAsia="Times New Roman"/>
          <w:color w:val="FF0000"/>
          <w:sz w:val="22"/>
          <w:szCs w:val="22"/>
        </w:rPr>
      </w:pPr>
      <w:r>
        <w:rPr>
          <w:rFonts w:eastAsia="Times New Roman" w:ascii="Times New Roman" w:hAnsi="Times New Roman"/>
          <w:color w:val="FF0000"/>
          <w:sz w:val="22"/>
          <w:szCs w:val="22"/>
        </w:rPr>
      </w:r>
    </w:p>
    <w:p>
      <w:pPr>
        <w:pStyle w:val="Normal"/>
        <w:spacing w:lineRule="atLeast" w:line="0"/>
        <w:ind w:right="40" w:hanging="0"/>
        <w:jc w:val="right"/>
        <w:rPr>
          <w:rFonts w:ascii="Times New Roman" w:hAnsi="Times New Roman" w:eastAsia="Times New Roman"/>
          <w:color w:val="FF0000"/>
          <w:sz w:val="22"/>
          <w:szCs w:val="22"/>
        </w:rPr>
      </w:pPr>
      <w:r>
        <w:rPr>
          <w:rFonts w:eastAsia="Times New Roman" w:ascii="Times New Roman" w:hAnsi="Times New Roman"/>
          <w:color w:val="FF0000"/>
          <w:sz w:val="22"/>
          <w:szCs w:val="22"/>
        </w:rPr>
      </w:r>
    </w:p>
    <w:p>
      <w:pPr>
        <w:sectPr>
          <w:type w:val="continuous"/>
          <w:pgSz w:w="11906" w:h="16838"/>
          <w:pgMar w:left="1300" w:right="1379" w:gutter="0" w:header="0" w:top="1408" w:footer="0" w:bottom="1440"/>
          <w:cols w:num="2" w:equalWidth="false" w:sep="false">
            <w:col w:w="6905" w:space="720"/>
            <w:col w:w="1601"/>
          </w:cols>
          <w:formProt w:val="false"/>
          <w:textDirection w:val="lrTb"/>
          <w:docGrid w:type="default" w:linePitch="100" w:charSpace="0"/>
        </w:sectPr>
      </w:pPr>
    </w:p>
    <w:p>
      <w:pPr>
        <w:pStyle w:val="Normal"/>
        <w:spacing w:lineRule="auto" w:line="360"/>
        <w:ind w:firstLine="708"/>
        <w:jc w:val="both"/>
        <w:rPr>
          <w:rFonts w:ascii="Times New Roman" w:hAnsi="Times New Roman" w:cs="Times New Roman"/>
          <w:b/>
          <w:b/>
          <w:bCs/>
          <w:sz w:val="26"/>
          <w:szCs w:val="26"/>
        </w:rPr>
      </w:pPr>
      <w:r>
        <w:rPr>
          <w:rFonts w:cs="Times New Roman" w:ascii="Times New Roman" w:hAnsi="Times New Roman"/>
          <w:b/>
          <w:bCs/>
          <w:sz w:val="26"/>
          <w:szCs w:val="26"/>
        </w:rPr>
        <w:t>RASHODI I IZDACI</w:t>
      </w:r>
    </w:p>
    <w:p>
      <w:pPr>
        <w:pStyle w:val="Normal"/>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Ukupni rashodi i izdaci Proračuna za 2024. godinu planirani su u iznosu od 2.059.987,00 EUR. Prilikom planiranja rashoda i izdataka uzeta je u obzir realizacija istih u 2023. godini, njihova procjena po osnovi tekućih i/ili ugovorenih obveza za naredno razdoblje, mjere štednje i racionalizacija ukupnog poslovanja te predviđena dinamika realizacije planiranih kapitalnih ulaganja uz ograničenja uvjetovana ukupno planiranim proračunskim prihodima i primicima.</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RAZDJEL 001 – OPĆINSKO VIJEĆE I OPĆINSKI NAČELNIK I TIJELA SAMOUPRAVE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Unutar ovog razdjela planirani su rashodi u iznosu od 2.059.987,00 EUR a odnose se na:</w:t>
      </w:r>
    </w:p>
    <w:p>
      <w:pPr>
        <w:pStyle w:val="Normal"/>
        <w:spacing w:lineRule="auto" w:line="360"/>
        <w:jc w:val="both"/>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Program 01: Donošenje akata i mjera iz djelokruga predstavničkog, izvršnog tijela </w:t>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                     </w:t>
      </w:r>
      <w:r>
        <w:rPr>
          <w:rFonts w:cs="Times New Roman" w:ascii="Times New Roman" w:hAnsi="Times New Roman"/>
          <w:b/>
          <w:bCs/>
          <w:i/>
          <w:iCs/>
          <w:sz w:val="26"/>
          <w:szCs w:val="26"/>
        </w:rPr>
        <w:t>17.500,00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Unutar ovog programa planirani su rashodi u ukupnom iznosu od </w:t>
      </w:r>
      <w:r>
        <w:rPr>
          <w:rFonts w:cs="Times New Roman" w:ascii="Times New Roman" w:hAnsi="Times New Roman"/>
          <w:b/>
          <w:bCs/>
          <w:i/>
          <w:iCs/>
          <w:sz w:val="26"/>
          <w:szCs w:val="26"/>
        </w:rPr>
        <w:t xml:space="preserve">17.500,00 </w:t>
      </w:r>
      <w:r>
        <w:rPr>
          <w:rFonts w:cs="Times New Roman" w:ascii="Times New Roman" w:hAnsi="Times New Roman"/>
          <w:sz w:val="24"/>
          <w:szCs w:val="24"/>
        </w:rPr>
        <w:t xml:space="preserve">EUR, a odnose se na </w:t>
      </w:r>
      <w:r>
        <w:rPr>
          <w:rFonts w:cs="Times New Roman" w:ascii="Times New Roman" w:hAnsi="Times New Roman"/>
          <w:b/>
          <w:bCs/>
          <w:sz w:val="24"/>
          <w:szCs w:val="24"/>
        </w:rPr>
        <w:t xml:space="preserve">aktivnosti predstavničkih i izvršnih tijela, potpora radu političkih stranaka kao </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Naknade za rad predstavničkih tijela</w:t>
        <w:tab/>
        <w:tab/>
        <w:t xml:space="preserve">           7.000,00 EUR</w:t>
      </w:r>
    </w:p>
    <w:p>
      <w:pPr>
        <w:pStyle w:val="ListParagraph"/>
        <w:numPr>
          <w:ilvl w:val="0"/>
          <w:numId w:val="6"/>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Naknade članovima povjerenstva</w:t>
        <w:tab/>
        <w:tab/>
        <w:t xml:space="preserve">                      2.000,00 EUR</w:t>
      </w:r>
    </w:p>
    <w:p>
      <w:pPr>
        <w:pStyle w:val="ListParagraph"/>
        <w:numPr>
          <w:ilvl w:val="0"/>
          <w:numId w:val="6"/>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Premije osiguranja imovine</w:t>
        <w:tab/>
        <w:tab/>
        <w:t xml:space="preserve">                      3.000,00 EUR</w:t>
      </w:r>
    </w:p>
    <w:p>
      <w:pPr>
        <w:pStyle w:val="ListParagraph"/>
        <w:numPr>
          <w:ilvl w:val="0"/>
          <w:numId w:val="6"/>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Tekuće donacije u novcu - političkim strankama           5.500,00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ind w:right="320" w:hanging="0"/>
        <w:jc w:val="both"/>
        <w:rPr>
          <w:rFonts w:ascii="Times New Roman" w:hAnsi="Times New Roman" w:eastAsia="Times New Roman"/>
          <w:sz w:val="24"/>
        </w:rPr>
      </w:pPr>
      <w:r>
        <w:rPr>
          <w:rFonts w:eastAsia="Times New Roman" w:ascii="Times New Roman" w:hAnsi="Times New Roman"/>
          <w:b/>
          <w:bCs/>
          <w:sz w:val="24"/>
        </w:rPr>
        <w:t>Opći cilj:</w:t>
      </w:r>
      <w:r>
        <w:rPr>
          <w:rFonts w:eastAsia="Times New Roman" w:ascii="Times New Roman" w:hAnsi="Times New Roman"/>
          <w:sz w:val="24"/>
        </w:rPr>
        <w:t xml:space="preserve"> Izvršavanje poslova iz djelokruga rada, priprema i objava svih akata, provođenje donesenih odluka, praćenje njihovog izvršenja, poslovi nabave potrebni za funkcioniranje Jedinstvenog upravnog djela.</w:t>
      </w:r>
    </w:p>
    <w:p>
      <w:pPr>
        <w:pStyle w:val="Normal"/>
        <w:spacing w:lineRule="auto" w:line="264"/>
        <w:ind w:right="320" w:hanging="0"/>
        <w:jc w:val="both"/>
        <w:rPr>
          <w:rFonts w:ascii="Times New Roman" w:hAnsi="Times New Roman" w:eastAsia="Times New Roman"/>
          <w:sz w:val="24"/>
        </w:rPr>
      </w:pPr>
      <w:r>
        <w:rPr>
          <w:rFonts w:eastAsia="Times New Roman" w:ascii="Times New Roman" w:hAnsi="Times New Roman"/>
          <w:sz w:val="24"/>
        </w:rPr>
      </w:r>
    </w:p>
    <w:p>
      <w:pPr>
        <w:pStyle w:val="Normal"/>
        <w:spacing w:lineRule="auto" w:line="292"/>
        <w:ind w:right="-13" w:hanging="0"/>
        <w:jc w:val="both"/>
        <w:rPr>
          <w:rFonts w:ascii="Times New Roman" w:hAnsi="Times New Roman" w:eastAsia="Times New Roman"/>
          <w:sz w:val="24"/>
          <w:szCs w:val="24"/>
        </w:rPr>
      </w:pPr>
      <w:r>
        <w:rPr>
          <w:rFonts w:eastAsia="Times New Roman" w:ascii="Times New Roman" w:hAnsi="Times New Roman"/>
          <w:b/>
          <w:sz w:val="24"/>
          <w:szCs w:val="24"/>
        </w:rPr>
        <w:t>Posebni cilj</w:t>
      </w:r>
      <w:r>
        <w:rPr>
          <w:rFonts w:eastAsia="Times New Roman" w:ascii="Times New Roman" w:hAnsi="Times New Roman"/>
          <w:sz w:val="24"/>
          <w:szCs w:val="24"/>
        </w:rPr>
        <w:t>: Kvalitetno i odgovorno vođenje poslova u svrhu koju je Jedinstveni upravni odjel osnovan, transparentan rad, informacije dostupne građanima i svakodnevni rad sa strankama i građanima općine.</w:t>
      </w:r>
    </w:p>
    <w:p>
      <w:pPr>
        <w:pStyle w:val="Normal"/>
        <w:spacing w:lineRule="exact" w:line="57"/>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64"/>
        <w:ind w:right="-13" w:hanging="0"/>
        <w:jc w:val="both"/>
        <w:rPr>
          <w:rFonts w:ascii="Times New Roman" w:hAnsi="Times New Roman" w:eastAsia="Times New Roman"/>
          <w:sz w:val="24"/>
          <w:szCs w:val="24"/>
        </w:rPr>
      </w:pPr>
      <w:r>
        <w:rPr>
          <w:rFonts w:eastAsia="Times New Roman" w:ascii="Times New Roman" w:hAnsi="Times New Roman"/>
          <w:b/>
          <w:sz w:val="24"/>
          <w:szCs w:val="24"/>
        </w:rPr>
        <w:t>Pokazatelji uspješnosti</w:t>
      </w:r>
      <w:r>
        <w:rPr>
          <w:rFonts w:eastAsia="Times New Roman" w:ascii="Times New Roman" w:hAnsi="Times New Roman"/>
          <w:sz w:val="24"/>
          <w:szCs w:val="24"/>
        </w:rPr>
        <w:t>: Usklađivanja općih akata sa zakonom i aktualnom zakonskom regulativom, redovno održavanje sjednica općinskog vijeća, priprema materijala za sjednice, njihova objava, praćenje aktivnosti korisnika koji se financiraju iz proračuna općine.</w:t>
      </w:r>
    </w:p>
    <w:p>
      <w:pPr>
        <w:pStyle w:val="Normal"/>
        <w:spacing w:lineRule="auto" w:line="264"/>
        <w:ind w:right="-13"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ind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Program 02: Donošenje i provedba akata i mjera iz djelokruga  339.642,00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Unutar ovog programa planirani su rashodi u ukupnom iznosu od 265.312,90 EUR, a odnose se na </w:t>
      </w:r>
      <w:r>
        <w:rPr>
          <w:rFonts w:cs="Times New Roman" w:ascii="Times New Roman" w:hAnsi="Times New Roman"/>
          <w:b/>
          <w:bCs/>
          <w:sz w:val="24"/>
          <w:szCs w:val="24"/>
        </w:rPr>
        <w:t>aktivnosti administrativnog, tehničkog i stručnog osoblja, kao i na bankarske usluge i usluge platnog prometa</w:t>
      </w: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Ova planirana sredstva odnose se na plaće zaposlenika i ostale rashode neophodne za njihov rad, nabavu uredskog materijala, usluge tekućeg i investicijskog održavanje zgrada i opreme, računalne usluge, premije osiguranja, troškovi telefona i poštarina, usluge promidžbe i informiranja, zakupnine i najamnine, troškove preventivnih zdravstvenih pregleda i dr.</w:t>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Opći cilj</w:t>
      </w:r>
      <w:r>
        <w:rPr>
          <w:rFonts w:cs="Times New Roman" w:ascii="Times New Roman" w:hAnsi="Times New Roman"/>
          <w:sz w:val="24"/>
          <w:szCs w:val="24"/>
        </w:rPr>
        <w:t>: Izvršavanje poslova iz djelokruga rada, priprema i objava svih akata, provođenje donesenih odluka, praćenje njihovog izvršenja, poslovi nabave potrebni za funkcioniranje Jedinstvenog upravnog djela.</w:t>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Posebni cilj:</w:t>
      </w:r>
      <w:r>
        <w:rPr>
          <w:rFonts w:cs="Times New Roman" w:ascii="Times New Roman" w:hAnsi="Times New Roman"/>
          <w:sz w:val="24"/>
          <w:szCs w:val="24"/>
        </w:rPr>
        <w:t xml:space="preserve"> Kvalitetno i odgovorno vođenje poslova u svrhu koju je Jedinstveni upravni odjel osnovan, transparentan rad, informacije dostupne građanima i svakodnevni rad sa strankama i građanima općine.</w:t>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Pokazatelji uspješnosti:</w:t>
      </w:r>
      <w:r>
        <w:rPr>
          <w:rFonts w:cs="Times New Roman" w:ascii="Times New Roman" w:hAnsi="Times New Roman"/>
          <w:sz w:val="24"/>
          <w:szCs w:val="24"/>
        </w:rPr>
        <w:t xml:space="preserve"> Usklađivanja općih akata sa zakonom i aktualnom zakonskom regulativom, redovno održavanje sjednica općinskog vijeća, priprema materijala za sjednice, njihova objava, praćenje aktivnosti korisnika koji se financiraju iz proračuna općine.</w:t>
      </w:r>
    </w:p>
    <w:p>
      <w:pPr>
        <w:pStyle w:val="Normal"/>
        <w:spacing w:lineRule="auto" w:line="360"/>
        <w:jc w:val="both"/>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Program 03: Protupožarna i civilna zaštita 7.980,00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Unutar ovog programa planirani su rashodi u ukupni iznosu od 7.980,00 EUR, a odnose se na aktivnosti:</w:t>
      </w:r>
    </w:p>
    <w:p>
      <w:pPr>
        <w:pStyle w:val="ListParagraph"/>
        <w:numPr>
          <w:ilvl w:val="0"/>
          <w:numId w:val="5"/>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Protupožarne zaštite </w:t>
      </w:r>
      <w:r>
        <w:rPr>
          <w:rFonts w:cs="Times New Roman" w:ascii="Times New Roman" w:hAnsi="Times New Roman"/>
          <w:b/>
          <w:bCs/>
        </w:rPr>
        <w:t xml:space="preserve">                          </w:t>
      </w:r>
      <w:r>
        <w:rPr>
          <w:rFonts w:cs="Times New Roman" w:ascii="Times New Roman" w:hAnsi="Times New Roman"/>
          <w:b/>
          <w:bCs/>
          <w:sz w:val="24"/>
          <w:szCs w:val="24"/>
        </w:rPr>
        <w:t>6.650,00 EUR</w:t>
      </w:r>
    </w:p>
    <w:p>
      <w:pPr>
        <w:pStyle w:val="ListParagraph"/>
        <w:numPr>
          <w:ilvl w:val="0"/>
          <w:numId w:val="5"/>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Civilne zaštite                                  1.330,00 EUR</w:t>
      </w:r>
    </w:p>
    <w:p>
      <w:pPr>
        <w:pStyle w:val="ListParagraph"/>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Opći cilj:</w:t>
      </w:r>
      <w:r>
        <w:rPr>
          <w:rFonts w:cs="Times New Roman" w:ascii="Times New Roman" w:hAnsi="Times New Roman"/>
          <w:sz w:val="24"/>
          <w:szCs w:val="24"/>
        </w:rPr>
        <w:t xml:space="preserve"> Provođenje protupožarne i civilne zaštite,  sigurnost građana.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eastAsia="Times New Roman" w:cs="Times New Roman"/>
          <w:b/>
          <w:b/>
          <w:bCs/>
          <w:i/>
          <w:i/>
          <w:iCs/>
          <w:sz w:val="26"/>
          <w:szCs w:val="26"/>
        </w:rPr>
      </w:pPr>
      <w:r>
        <w:rPr>
          <w:rFonts w:eastAsia="Times New Roman" w:cs="Times New Roman" w:ascii="Times New Roman" w:hAnsi="Times New Roman"/>
          <w:b/>
          <w:bCs/>
          <w:i/>
          <w:iCs/>
          <w:sz w:val="26"/>
          <w:szCs w:val="26"/>
        </w:rPr>
        <w:t>Program 04: Javne potrebe u obrazovanju Općine Negoslavci 52.850,00 EUR</w:t>
      </w:r>
    </w:p>
    <w:p>
      <w:pPr>
        <w:pStyle w:val="Normal"/>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Unutar ovog programa planirani su rashodi u ukupnom iznosu od 52.850,00 EUR , a odnose </w:t>
      </w:r>
    </w:p>
    <w:p>
      <w:pPr>
        <w:pStyle w:val="Normal"/>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se na aktivnosti:</w:t>
      </w:r>
    </w:p>
    <w:p>
      <w:pPr>
        <w:pStyle w:val="ListParagraph"/>
        <w:numPr>
          <w:ilvl w:val="0"/>
          <w:numId w:val="8"/>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Predškole pri OŠ Negoslavci                                                37.550,00 EUR</w:t>
      </w:r>
    </w:p>
    <w:p>
      <w:pPr>
        <w:pStyle w:val="ListParagraph"/>
        <w:numPr>
          <w:ilvl w:val="0"/>
          <w:numId w:val="8"/>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Sufinanciranje javnog prijevoza učenika srednje škole      3.300,00 EUR </w:t>
      </w:r>
    </w:p>
    <w:p>
      <w:pPr>
        <w:pStyle w:val="ListParagraph"/>
        <w:numPr>
          <w:ilvl w:val="0"/>
          <w:numId w:val="8"/>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Osnovne škole Negoslavci                                                     12.000,00 EUR</w:t>
      </w:r>
    </w:p>
    <w:p>
      <w:pPr>
        <w:pStyle w:val="ListParagraph"/>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Ova sredstva odnose se na plaće zaposlenih u predškoli, ostale rashode za rad, nabavka preobuće za polaznike predškole i škole, rashodi na sufinanciranje ekskurzija djece i financiranje škole plivanja, ostali nespomenuti rashodi i ostali financijski rashodi</w:t>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Opći cilj :</w:t>
      </w:r>
      <w:r>
        <w:rPr>
          <w:rFonts w:cs="Times New Roman" w:ascii="Times New Roman" w:hAnsi="Times New Roman"/>
          <w:sz w:val="24"/>
          <w:szCs w:val="24"/>
        </w:rPr>
        <w:t xml:space="preserve"> Provođenje redovitog programa predškolskog odgoja, kao i sufinanciranje određenih aktivnosti propisanih školskim kurikulumom za sve polaznike OŠ Negoslavci i sufinanciranje javnog prijevoza učenika srednjih škola.</w:t>
      </w:r>
    </w:p>
    <w:p>
      <w:pPr>
        <w:pStyle w:val="Normal"/>
        <w:spacing w:lineRule="auto" w:line="360"/>
        <w:jc w:val="both"/>
        <w:rPr>
          <w:rFonts w:ascii="Times New Roman" w:hAnsi="Times New Roman" w:cs="Times New Roman"/>
          <w:sz w:val="24"/>
          <w:szCs w:val="24"/>
        </w:rPr>
      </w:pPr>
      <w:r>
        <w:rPr>
          <w:rFonts w:cs="Times New Roman" w:ascii="Times New Roman" w:hAnsi="Times New Roman"/>
          <w:b/>
          <w:bCs/>
          <w:sz w:val="24"/>
          <w:szCs w:val="24"/>
        </w:rPr>
        <w:t>Pokazatelji uspješnosti :</w:t>
      </w:r>
      <w:r>
        <w:rPr>
          <w:rFonts w:cs="Times New Roman" w:ascii="Times New Roman" w:hAnsi="Times New Roman"/>
          <w:sz w:val="24"/>
          <w:szCs w:val="24"/>
        </w:rPr>
        <w:t xml:space="preserve"> Broj polaznika, broj aktivnosti koje se provode u okviru redovne djelatnosti broj roditelja zadovoljnih načinom na koji se vodi briga o naobrazbi, zdravlju, prehrani, tjelesnim i intelektualnim aktivnostima djece.</w:t>
      </w:r>
    </w:p>
    <w:p>
      <w:pPr>
        <w:pStyle w:val="Normal"/>
        <w:spacing w:lineRule="auto" w:line="360"/>
        <w:jc w:val="both"/>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Program 05: Održavanje objekata i uređaja komunalne infrastrukture                       </w:t>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                      </w:t>
      </w:r>
      <w:r>
        <w:rPr>
          <w:rFonts w:cs="Times New Roman" w:ascii="Times New Roman" w:hAnsi="Times New Roman"/>
          <w:b/>
          <w:bCs/>
          <w:i/>
          <w:iCs/>
          <w:sz w:val="26"/>
          <w:szCs w:val="26"/>
        </w:rPr>
        <w:t>273.000,00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Unutar ovog programa planirani su rashodi u ukupnom iznosu od </w:t>
      </w:r>
      <w:r>
        <w:rPr>
          <w:rFonts w:cs="Times New Roman" w:ascii="Times New Roman" w:hAnsi="Times New Roman"/>
          <w:b/>
          <w:bCs/>
          <w:i/>
          <w:iCs/>
          <w:sz w:val="26"/>
          <w:szCs w:val="26"/>
        </w:rPr>
        <w:t xml:space="preserve"> 273.000,00 EUR</w:t>
      </w:r>
      <w:r>
        <w:rPr>
          <w:rFonts w:cs="Times New Roman" w:ascii="Times New Roman" w:hAnsi="Times New Roman"/>
          <w:sz w:val="24"/>
          <w:szCs w:val="24"/>
        </w:rPr>
        <w:t>, a odnose se na aktivnosti:</w:t>
      </w:r>
    </w:p>
    <w:p>
      <w:pPr>
        <w:pStyle w:val="ListParagraph"/>
        <w:numPr>
          <w:ilvl w:val="0"/>
          <w:numId w:val="2"/>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Održavanje komunalne infrastrukture</w:t>
        <w:tab/>
        <w:tab/>
        <w:t>230.000,00 EUR</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Sanacija pješačkih staza</w:t>
        <w:tab/>
        <w:tab/>
        <w:t xml:space="preserve">                                  30.000,00 EUR</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Renoviranje etno kuće-dom kulture                                    168.000,00 EUR</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Uređenje NK Negoslavci – obnova svlačionica</w:t>
        <w:tab/>
        <w:t xml:space="preserve">           24.000,00 EUR</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Uređenje malonogometnog igrališta</w:t>
        <w:tab/>
        <w:t xml:space="preserve">                                   8.000,00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Materijal i dijelovi za održavanje javne rasvjete</w:t>
        <w:tab/>
        <w:t xml:space="preserve">                7.000,00 </w:t>
      </w:r>
      <w:r>
        <w:rPr>
          <w:rFonts w:cs="Times New Roman" w:ascii="Times New Roman" w:hAnsi="Times New Roman"/>
          <w:sz w:val="24"/>
          <w:szCs w:val="24"/>
        </w:rPr>
        <w:t>EUR</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Usluge tekućeg i investicijskog održavanja javne rasvjete       7.000,00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360"/>
        <w:ind w:left="0" w:hanging="0"/>
        <w:jc w:val="both"/>
        <w:rPr>
          <w:rFonts w:ascii="Times New Roman" w:hAnsi="Times New Roman" w:cs="Times New Roman"/>
          <w:sz w:val="24"/>
          <w:szCs w:val="24"/>
        </w:rPr>
      </w:pPr>
      <w:r>
        <w:rPr>
          <w:rFonts w:cs="Times New Roman" w:ascii="Times New Roman" w:hAnsi="Times New Roman"/>
          <w:b/>
          <w:bCs/>
          <w:sz w:val="24"/>
          <w:szCs w:val="24"/>
        </w:rPr>
        <w:t>Kapitalni projekt: Obnova centra općine</w:t>
        <w:tab/>
        <w:tab/>
        <w:t>36.000,00 EUR</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Program 06: Izgradnja objekata i uređaja Komunalne infrastrukture i opremanje   </w:t>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                     </w:t>
      </w:r>
      <w:r>
        <w:rPr>
          <w:rFonts w:cs="Times New Roman" w:ascii="Times New Roman" w:hAnsi="Times New Roman"/>
          <w:b/>
          <w:bCs/>
          <w:i/>
          <w:iCs/>
          <w:sz w:val="26"/>
          <w:szCs w:val="26"/>
        </w:rPr>
        <w:t>836.000,00 EUR</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sz w:val="24"/>
          <w:szCs w:val="24"/>
        </w:rPr>
        <w:t xml:space="preserve">Unutar ovog programa planirani su rashodi u ukupnom iznosu od </w:t>
      </w:r>
      <w:r>
        <w:rPr>
          <w:rFonts w:cs="Times New Roman" w:ascii="Times New Roman" w:hAnsi="Times New Roman"/>
          <w:b/>
          <w:bCs/>
          <w:sz w:val="24"/>
          <w:szCs w:val="24"/>
        </w:rPr>
        <w:t>836.000,00 EUR</w:t>
      </w:r>
      <w:r>
        <w:rPr>
          <w:rFonts w:cs="Times New Roman" w:ascii="Times New Roman" w:hAnsi="Times New Roman"/>
          <w:sz w:val="24"/>
          <w:szCs w:val="24"/>
        </w:rPr>
        <w:t>, a odnose se na aktivnosti:</w:t>
      </w:r>
    </w:p>
    <w:p>
      <w:pPr>
        <w:pStyle w:val="ListParagraph"/>
        <w:numPr>
          <w:ilvl w:val="0"/>
          <w:numId w:val="3"/>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Izgradnja plinovoda, vodovoda i kanalizacije 833.000,00 EUR</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Izgradnja parkinga</w:t>
        <w:tab/>
        <w:t xml:space="preserve">                                 25.000,00 EUR</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Javna rasvjeta                                               8.000,00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b/>
        <w:t xml:space="preserve">                      </w:t>
      </w:r>
    </w:p>
    <w:p>
      <w:pPr>
        <w:pStyle w:val="Normal"/>
        <w:spacing w:lineRule="auto" w:line="360"/>
        <w:ind w:left="709" w:hanging="0"/>
        <w:jc w:val="both"/>
        <w:rPr>
          <w:rFonts w:ascii="Times New Roman" w:hAnsi="Times New Roman" w:cs="Times New Roman"/>
          <w:sz w:val="24"/>
          <w:szCs w:val="24"/>
        </w:rPr>
      </w:pPr>
      <w:r>
        <w:rPr>
          <w:rFonts w:cs="Times New Roman" w:ascii="Times New Roman" w:hAnsi="Times New Roman"/>
          <w:sz w:val="24"/>
          <w:szCs w:val="24"/>
        </w:rPr>
        <w:t>Izgradnja dječjeg vrtića</w:t>
        <w:tab/>
        <w:tab/>
        <w:t xml:space="preserve">           800.000,00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Opremanje komunalnom opremom 3.000,00 EUR</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Oprema-trimeri za uređenje i održavanje okoliša  3.000,00 EUR</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Program 07: Program javnih potreba u socijalnoj skrbi Općine Negoslavci </w:t>
      </w:r>
    </w:p>
    <w:p>
      <w:pPr>
        <w:pStyle w:val="Normal"/>
        <w:spacing w:lineRule="auto" w:line="360"/>
        <w:jc w:val="both"/>
        <w:rPr>
          <w:rFonts w:ascii="Times New Roman" w:hAnsi="Times New Roman" w:cs="Times New Roman"/>
          <w:b/>
          <w:b/>
          <w:bCs/>
          <w:i/>
          <w:i/>
          <w:iCs/>
          <w:sz w:val="26"/>
          <w:szCs w:val="26"/>
        </w:rPr>
      </w:pPr>
      <w:r>
        <w:rPr>
          <w:rFonts w:cs="Times New Roman" w:ascii="Times New Roman" w:hAnsi="Times New Roman"/>
          <w:b/>
          <w:bCs/>
          <w:i/>
          <w:iCs/>
          <w:sz w:val="26"/>
          <w:szCs w:val="26"/>
        </w:rPr>
        <w:t xml:space="preserve">                    </w:t>
      </w:r>
      <w:r>
        <w:rPr>
          <w:rFonts w:cs="Times New Roman" w:ascii="Times New Roman" w:hAnsi="Times New Roman"/>
          <w:b/>
          <w:bCs/>
          <w:i/>
          <w:iCs/>
          <w:sz w:val="26"/>
          <w:szCs w:val="26"/>
        </w:rPr>
        <w:t>37.150,00 EUR</w:t>
      </w:r>
    </w:p>
    <w:p>
      <w:pPr>
        <w:pStyle w:val="Normal"/>
        <w:spacing w:lineRule="auto" w:line="360"/>
        <w:jc w:val="both"/>
        <w:rPr>
          <w:rFonts w:ascii="Times New Roman" w:hAnsi="Times New Roman" w:cs="Times New Roman"/>
          <w:sz w:val="24"/>
          <w:szCs w:val="24"/>
        </w:rPr>
      </w:pPr>
      <w:bookmarkStart w:id="0" w:name="_Hlk124152285"/>
      <w:r>
        <w:rPr>
          <w:rFonts w:cs="Times New Roman" w:ascii="Times New Roman" w:hAnsi="Times New Roman"/>
          <w:sz w:val="24"/>
          <w:szCs w:val="24"/>
        </w:rPr>
        <w:t>Unutar ovog programa planirani su rashodi u iznosu od 37.150,00 EUR i odnose na slijedeće aktivnosti:</w:t>
      </w:r>
      <w:bookmarkEnd w:id="0"/>
    </w:p>
    <w:p>
      <w:pPr>
        <w:pStyle w:val="ListParagraph"/>
        <w:numPr>
          <w:ilvl w:val="0"/>
          <w:numId w:val="4"/>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Pomoć u novcu pojedincima i obiteljima                         32.000,00 EUR</w:t>
      </w:r>
    </w:p>
    <w:p>
      <w:pPr>
        <w:pStyle w:val="Normal"/>
        <w:spacing w:lineRule="auto" w:line="36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Pomoć obiteljima i kućanstvima</w:t>
        <w:tab/>
        <w:tab/>
        <w:t xml:space="preserve">                        1.000,00 EUR</w:t>
      </w:r>
    </w:p>
    <w:p>
      <w:pPr>
        <w:pStyle w:val="Normal"/>
        <w:spacing w:lineRule="auto" w:line="36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Pomoć i njega u kući - jednokratne pomoći                          7.000,00 EUR</w:t>
      </w:r>
    </w:p>
    <w:p>
      <w:pPr>
        <w:pStyle w:val="Normal"/>
        <w:spacing w:lineRule="auto" w:line="36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Jednokratne pomoći umirovljenicima</w:t>
        <w:tab/>
        <w:t xml:space="preserve">                        13.000,00 EUR</w:t>
      </w:r>
    </w:p>
    <w:p>
      <w:pPr>
        <w:pStyle w:val="Normal"/>
        <w:spacing w:lineRule="auto" w:line="36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Paketi za potrebite                                                                 1.000,00 EUR</w:t>
      </w:r>
    </w:p>
    <w:p>
      <w:pPr>
        <w:pStyle w:val="Normal"/>
        <w:spacing w:lineRule="auto" w:line="360"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Sufinanciranje prijevoza građana</w:t>
        <w:tab/>
        <w:tab/>
        <w:t xml:space="preserve">                         10.000,00 EUR</w:t>
      </w:r>
    </w:p>
    <w:p>
      <w:pPr>
        <w:pStyle w:val="ListParagraph"/>
        <w:numPr>
          <w:ilvl w:val="0"/>
          <w:numId w:val="4"/>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Pomoć u novcu pojedincima i obiteljima                          3.850,00 EUR</w:t>
      </w:r>
    </w:p>
    <w:p>
      <w:pPr>
        <w:pStyle w:val="ListParagraph"/>
        <w:tabs>
          <w:tab w:val="clear" w:pos="708"/>
          <w:tab w:val="left" w:pos="142" w:leader="none"/>
        </w:tabs>
        <w:spacing w:lineRule="auto" w:line="360"/>
        <w:ind w:left="709"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Pomoć obiteljima za đake prvake</w:t>
        <w:tab/>
        <w:tab/>
        <w:t xml:space="preserve">                        1.350,00 </w:t>
      </w:r>
      <w:r>
        <w:rPr>
          <w:rFonts w:cs="Times New Roman" w:ascii="Times New Roman" w:hAnsi="Times New Roman"/>
          <w:sz w:val="24"/>
          <w:szCs w:val="24"/>
        </w:rPr>
        <w:t>EUR</w:t>
      </w:r>
    </w:p>
    <w:p>
      <w:pPr>
        <w:pStyle w:val="ListParagraph"/>
        <w:tabs>
          <w:tab w:val="clear" w:pos="708"/>
          <w:tab w:val="left" w:pos="142" w:leader="none"/>
        </w:tabs>
        <w:spacing w:lineRule="auto" w:line="360"/>
        <w:ind w:left="709"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Sportska nagrada</w:t>
        <w:tab/>
        <w:tab/>
        <w:t xml:space="preserve">                                                  500,00 </w:t>
      </w:r>
      <w:r>
        <w:rPr>
          <w:rFonts w:cs="Times New Roman" w:ascii="Times New Roman" w:hAnsi="Times New Roman"/>
          <w:sz w:val="24"/>
          <w:szCs w:val="24"/>
        </w:rPr>
        <w:t>EUR</w:t>
      </w:r>
    </w:p>
    <w:p>
      <w:pPr>
        <w:pStyle w:val="ListParagraph"/>
        <w:tabs>
          <w:tab w:val="clear" w:pos="708"/>
          <w:tab w:val="left" w:pos="142" w:leader="none"/>
        </w:tabs>
        <w:spacing w:lineRule="auto" w:line="360"/>
        <w:ind w:left="709"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Ostale naknade - dječji paketići</w:t>
        <w:tab/>
        <w:t xml:space="preserve">                                    2.000,00 </w:t>
      </w:r>
      <w:r>
        <w:rPr>
          <w:rFonts w:cs="Times New Roman" w:ascii="Times New Roman" w:hAnsi="Times New Roman"/>
          <w:sz w:val="24"/>
          <w:szCs w:val="24"/>
        </w:rPr>
        <w:t>EUR</w:t>
      </w:r>
    </w:p>
    <w:p>
      <w:pPr>
        <w:pStyle w:val="ListParagraph"/>
        <w:numPr>
          <w:ilvl w:val="0"/>
          <w:numId w:val="4"/>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Crveni križ                                                                           1.300,00 EUR</w:t>
      </w:r>
    </w:p>
    <w:p>
      <w:pPr>
        <w:pStyle w:val="ListParagraph"/>
        <w:tabs>
          <w:tab w:val="clear" w:pos="708"/>
          <w:tab w:val="left" w:pos="142" w:leader="none"/>
        </w:tabs>
        <w:spacing w:lineRule="auto" w:line="360"/>
        <w:ind w:left="709"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Tekuće donacija Crveni križ                                                  1.300,00 </w:t>
      </w:r>
      <w:r>
        <w:rPr>
          <w:rFonts w:cs="Times New Roman" w:ascii="Times New Roman" w:hAnsi="Times New Roman"/>
          <w:sz w:val="24"/>
          <w:szCs w:val="24"/>
        </w:rPr>
        <w:t>EUR</w:t>
      </w:r>
    </w:p>
    <w:p>
      <w:pPr>
        <w:pStyle w:val="Normal"/>
        <w:spacing w:lineRule="auto" w:line="36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 xml:space="preserve">Opći cilj: </w:t>
      </w:r>
      <w:r>
        <w:rPr>
          <w:rFonts w:cs="Times New Roman" w:ascii="Times New Roman" w:hAnsi="Times New Roman"/>
          <w:sz w:val="24"/>
          <w:szCs w:val="24"/>
        </w:rPr>
        <w:t>Pomoć socijalno ugroženom stanovništvu, pomoć obiteljima za đake prvake,  sufinanciranje prijevoza građana,  i pomoć umirovljenicima.</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Specifični cilj:</w:t>
      </w:r>
      <w:r>
        <w:rPr>
          <w:rFonts w:cs="Times New Roman" w:ascii="Times New Roman" w:hAnsi="Times New Roman"/>
          <w:sz w:val="24"/>
          <w:szCs w:val="24"/>
        </w:rPr>
        <w:t xml:space="preserve"> Zadovoljiti svaki vid socijalne pomoć na osnovu donesenih kriterija na osnovu odluke, u cilju povećanja osnovnih životnih uvjeta socijalno ugroženih obitelji i domaćinstva.</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Pokazatelji uspješnosti:</w:t>
      </w:r>
      <w:r>
        <w:rPr>
          <w:rFonts w:cs="Times New Roman" w:ascii="Times New Roman" w:hAnsi="Times New Roman"/>
          <w:sz w:val="24"/>
          <w:szCs w:val="24"/>
        </w:rPr>
        <w:t xml:space="preserve"> Broj realiziranih zahtjeva upućenih prema Općini, broj stipendiranih studenata.</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b/>
          <w:b/>
          <w:bCs/>
          <w:i/>
          <w:i/>
          <w:iCs/>
          <w:sz w:val="26"/>
          <w:szCs w:val="26"/>
        </w:rPr>
      </w:pPr>
      <w:r>
        <w:rPr>
          <w:rFonts w:cs="Times New Roman" w:ascii="Times New Roman" w:hAnsi="Times New Roman"/>
          <w:b/>
          <w:bCs/>
          <w:i/>
          <w:iCs/>
          <w:sz w:val="26"/>
          <w:szCs w:val="26"/>
        </w:rPr>
        <w:t>Program 08: Program javnih potreba u kulturi 59.465,00 EUR</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Unutar ovog programa planirani su rashodi u iznosu od 59.465,00  EUR i odnose na slijedeće aktivnosti:</w:t>
      </w:r>
    </w:p>
    <w:p>
      <w:pPr>
        <w:pStyle w:val="ListParagraph"/>
        <w:numPr>
          <w:ilvl w:val="0"/>
          <w:numId w:val="7"/>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Vjerske zajednice - pomoć u radu                    13.400,00 EUR</w:t>
      </w:r>
    </w:p>
    <w:p>
      <w:pPr>
        <w:pStyle w:val="ListParagraph"/>
        <w:numPr>
          <w:ilvl w:val="0"/>
          <w:numId w:val="7"/>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Djelatnost kulturno-umjetničkih društava      5.000,00 EUR</w:t>
      </w:r>
    </w:p>
    <w:p>
      <w:pPr>
        <w:pStyle w:val="ListParagraph"/>
        <w:numPr>
          <w:ilvl w:val="0"/>
          <w:numId w:val="7"/>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Kulturne manifestacije                                      1.000,00 EUR</w:t>
      </w:r>
    </w:p>
    <w:p>
      <w:pPr>
        <w:pStyle w:val="ListParagraph"/>
        <w:numPr>
          <w:ilvl w:val="0"/>
          <w:numId w:val="7"/>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Zajedničko veće općina                                      5.300,00 EUR</w:t>
      </w:r>
    </w:p>
    <w:p>
      <w:pPr>
        <w:pStyle w:val="ListParagraph"/>
        <w:numPr>
          <w:ilvl w:val="0"/>
          <w:numId w:val="7"/>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Udruge                                                                 34.765,00 EUR</w:t>
      </w:r>
    </w:p>
    <w:p>
      <w:pPr>
        <w:pStyle w:val="ListParagraph"/>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jc w:val="both"/>
        <w:rPr>
          <w:rFonts w:ascii="Times New Roman" w:hAnsi="Times New Roman" w:eastAsia="Times New Roman" w:cs="Times New Roman"/>
          <w:sz w:val="24"/>
          <w:szCs w:val="24"/>
        </w:rPr>
      </w:pPr>
      <w:bookmarkStart w:id="1" w:name="_Hlk124153372"/>
      <w:r>
        <w:rPr>
          <w:rFonts w:eastAsia="Times New Roman" w:cs="Times New Roman" w:ascii="Times New Roman" w:hAnsi="Times New Roman"/>
          <w:b/>
          <w:bCs/>
          <w:sz w:val="24"/>
          <w:szCs w:val="24"/>
        </w:rPr>
        <w:t>Opći cilj</w:t>
      </w:r>
      <w:r>
        <w:rPr>
          <w:rFonts w:eastAsia="Times New Roman" w:cs="Times New Roman" w:ascii="Times New Roman" w:hAnsi="Times New Roman"/>
          <w:sz w:val="24"/>
          <w:szCs w:val="24"/>
        </w:rPr>
        <w:t>: Poticanje rada kulturnih udruga sa području Općine Negoslavci i susjednih mjesta, očuvanje i promoviranje kulturne baštine.. Kapitalne donacije SPCO.</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Specifični ciljevi:</w:t>
      </w:r>
      <w:r>
        <w:rPr>
          <w:rFonts w:eastAsia="Times New Roman" w:cs="Times New Roman" w:ascii="Times New Roman" w:hAnsi="Times New Roman"/>
          <w:sz w:val="24"/>
          <w:szCs w:val="24"/>
        </w:rPr>
        <w:t xml:space="preserve"> Poticanje i očuvanje kulturne baštine, rad sa mještanima, posebno mladima putem udruga koje se bave kulturom, njegovanje tradicionalnih kulturnih obilježja, poticanje na zdrav način života, koje utječe na sve dobne skupine mještana, razvija natjecateljski duh, i promovira zdravlje.</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Pokazatelji uspješnosti:</w:t>
      </w:r>
      <w:r>
        <w:rPr>
          <w:rFonts w:eastAsia="Times New Roman" w:cs="Times New Roman" w:ascii="Times New Roman" w:hAnsi="Times New Roman"/>
          <w:sz w:val="24"/>
          <w:szCs w:val="24"/>
        </w:rPr>
        <w:t xml:space="preserve"> Broj održanih kulturnih manifestacija, sudjelovanje na domaćim i međunarodnim manifestacijama koje pridonose promociji Općine. Uređenje srpske pravoslavne crkve.</w:t>
      </w:r>
      <w:bookmarkEnd w:id="1"/>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b/>
          <w:b/>
          <w:bCs/>
          <w:i/>
          <w:i/>
          <w:iCs/>
          <w:sz w:val="26"/>
          <w:szCs w:val="26"/>
        </w:rPr>
      </w:pPr>
      <w:r>
        <w:rPr>
          <w:rFonts w:cs="Times New Roman" w:ascii="Times New Roman" w:hAnsi="Times New Roman"/>
          <w:b/>
          <w:bCs/>
          <w:i/>
          <w:iCs/>
          <w:sz w:val="26"/>
          <w:szCs w:val="26"/>
        </w:rPr>
        <w:t>Program 09:  Javna potrebe u športu 66.400,00 EUR</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 okviru ovog programa planirani su rashodi u iznosu od 66.400,00 EUR a odnose se na aktivnost </w:t>
      </w:r>
      <w:r>
        <w:rPr>
          <w:rFonts w:eastAsia="Times New Roman" w:cs="Times New Roman" w:ascii="Times New Roman" w:hAnsi="Times New Roman"/>
          <w:b/>
          <w:bCs/>
          <w:sz w:val="24"/>
          <w:szCs w:val="24"/>
        </w:rPr>
        <w:t>Tekuće donacije sportskim udrugama</w:t>
      </w:r>
      <w:r>
        <w:rPr>
          <w:rFonts w:eastAsia="Times New Roman" w:cs="Times New Roman" w:ascii="Times New Roman" w:hAnsi="Times New Roman"/>
          <w:sz w:val="24"/>
          <w:szCs w:val="24"/>
        </w:rPr>
        <w:t xml:space="preserve"> po slijedećim stavkama:</w:t>
      </w:r>
    </w:p>
    <w:p>
      <w:pPr>
        <w:pStyle w:val="ListParagraph"/>
        <w:numPr>
          <w:ilvl w:val="0"/>
          <w:numId w:val="9"/>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Tekuće donacije športskim organizacijama </w:t>
        <w:tab/>
        <w:t xml:space="preserve">            60.000,00 </w:t>
      </w:r>
      <w:r>
        <w:rPr>
          <w:rFonts w:cs="Times New Roman" w:ascii="Times New Roman" w:hAnsi="Times New Roman"/>
          <w:b/>
          <w:bCs/>
          <w:sz w:val="24"/>
          <w:szCs w:val="24"/>
        </w:rPr>
        <w:t>EUR</w:t>
      </w:r>
    </w:p>
    <w:p>
      <w:pPr>
        <w:pStyle w:val="ListParagraph"/>
        <w:numPr>
          <w:ilvl w:val="0"/>
          <w:numId w:val="9"/>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Tekuće donacije šahovski klub</w:t>
        <w:tab/>
        <w:tab/>
        <w:t xml:space="preserve">                        2.400,00 </w:t>
      </w:r>
      <w:r>
        <w:rPr>
          <w:rFonts w:cs="Times New Roman" w:ascii="Times New Roman" w:hAnsi="Times New Roman"/>
          <w:b/>
          <w:bCs/>
          <w:sz w:val="24"/>
          <w:szCs w:val="24"/>
        </w:rPr>
        <w:t>EUR</w:t>
      </w:r>
    </w:p>
    <w:p>
      <w:pPr>
        <w:pStyle w:val="ListParagraph"/>
        <w:numPr>
          <w:ilvl w:val="0"/>
          <w:numId w:val="9"/>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Tekuće donacije za sportske manifestacije</w:t>
        <w:tab/>
        <w:t xml:space="preserve">            4.000,00 </w:t>
      </w:r>
      <w:r>
        <w:rPr>
          <w:rFonts w:cs="Times New Roman" w:ascii="Times New Roman" w:hAnsi="Times New Roman"/>
          <w:b/>
          <w:bCs/>
          <w:sz w:val="24"/>
          <w:szCs w:val="24"/>
        </w:rPr>
        <w:t>EUR</w:t>
      </w:r>
    </w:p>
    <w:p>
      <w:pPr>
        <w:pStyle w:val="Normal"/>
        <w:spacing w:lineRule="auto" w:line="360" w:before="0" w:after="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 xml:space="preserve">Opći cilj: </w:t>
      </w:r>
      <w:r>
        <w:rPr>
          <w:rFonts w:cs="Times New Roman" w:ascii="Times New Roman" w:hAnsi="Times New Roman"/>
          <w:sz w:val="24"/>
          <w:szCs w:val="24"/>
        </w:rPr>
        <w:t>Poticanje rada sportskih udruga sa području općine Negoslavci, očuvanje i promoviranje sportskih natjecanja i bavljenja sportom djece i mladih.</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 xml:space="preserve">Specifični ciljevi: </w:t>
      </w:r>
      <w:r>
        <w:rPr>
          <w:rFonts w:cs="Times New Roman" w:ascii="Times New Roman" w:hAnsi="Times New Roman"/>
          <w:sz w:val="24"/>
          <w:szCs w:val="24"/>
        </w:rPr>
        <w:t>Poticanje bavljenja sportom, posebno mladima putem udruga koje se bave sportom, poticanje na zdrav način života koje utječe na sve dobne skupine mještana, razvija natjecateljski duh  i promovira zdravlje.</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 xml:space="preserve">Pokazatelji uspješnosti: </w:t>
      </w:r>
      <w:r>
        <w:rPr>
          <w:rFonts w:cs="Times New Roman" w:ascii="Times New Roman" w:hAnsi="Times New Roman"/>
          <w:sz w:val="24"/>
          <w:szCs w:val="24"/>
        </w:rPr>
        <w:t xml:space="preserve">Broj održanih natjecanja, sudjelovanje na domaćim i međunarodnim natjecanjima koje pridonose promociji Općine, broj održanih natjecanja, broj ostvarenih planiranih programa i projekata, broj dodijeljenih nagrada i medalja. </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eastAsia="Times New Roman" w:cs="Times New Roman"/>
          <w:b/>
          <w:b/>
          <w:bCs/>
          <w:sz w:val="26"/>
          <w:szCs w:val="26"/>
        </w:rPr>
      </w:pPr>
      <w:r>
        <w:rPr>
          <w:rFonts w:eastAsia="Times New Roman" w:cs="Times New Roman" w:ascii="Times New Roman" w:hAnsi="Times New Roman"/>
          <w:b/>
          <w:bCs/>
          <w:i/>
          <w:iCs/>
          <w:sz w:val="26"/>
          <w:szCs w:val="26"/>
        </w:rPr>
        <w:t xml:space="preserve">Program 10: Demografske mjere Općine Negoslavci  </w:t>
      </w:r>
      <w:r>
        <w:rPr>
          <w:rFonts w:eastAsia="Times New Roman" w:cs="Times New Roman" w:ascii="Times New Roman" w:hAnsi="Times New Roman"/>
          <w:b/>
          <w:bCs/>
          <w:sz w:val="26"/>
          <w:szCs w:val="26"/>
        </w:rPr>
        <w:t>30.000,00 EUR</w:t>
      </w:r>
    </w:p>
    <w:p>
      <w:pPr>
        <w:pStyle w:val="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Unutar ovog programa planirani su rashodi u iznosu od 30.000,00 EUR , a odnose se na aktivnost </w:t>
      </w:r>
      <w:r>
        <w:rPr>
          <w:rFonts w:eastAsia="Times New Roman" w:cs="Times New Roman" w:ascii="Times New Roman" w:hAnsi="Times New Roman"/>
          <w:b/>
          <w:bCs/>
          <w:sz w:val="24"/>
          <w:szCs w:val="24"/>
        </w:rPr>
        <w:t>Demografske mjere Općine Negoslavci</w:t>
      </w:r>
      <w:r>
        <w:rPr>
          <w:rFonts w:eastAsia="Times New Roman" w:cs="Times New Roman" w:ascii="Times New Roman" w:hAnsi="Times New Roman"/>
          <w:sz w:val="24"/>
          <w:szCs w:val="24"/>
        </w:rPr>
        <w:t xml:space="preserve"> i to:</w:t>
      </w:r>
    </w:p>
    <w:p>
      <w:pPr>
        <w:pStyle w:val="ListParagraph"/>
        <w:numPr>
          <w:ilvl w:val="0"/>
          <w:numId w:val="10"/>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Pomoć za novorođeno dijete</w:t>
        <w:tab/>
        <w:tab/>
        <w:t xml:space="preserve">                                   5.000,00 EUR</w:t>
      </w:r>
    </w:p>
    <w:p>
      <w:pPr>
        <w:pStyle w:val="ListParagraph"/>
        <w:numPr>
          <w:ilvl w:val="0"/>
          <w:numId w:val="10"/>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Stipendije i školarine</w:t>
        <w:tab/>
        <w:tab/>
        <w:t xml:space="preserve">                                               5.000,00 EUR</w:t>
      </w:r>
    </w:p>
    <w:p>
      <w:pPr>
        <w:pStyle w:val="ListParagraph"/>
        <w:numPr>
          <w:ilvl w:val="0"/>
          <w:numId w:val="10"/>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Naknade za pomoć mladim obiteljima</w:t>
        <w:tab/>
        <w:t xml:space="preserve">                                 10.000,00 EUR</w:t>
      </w:r>
    </w:p>
    <w:p>
      <w:pPr>
        <w:pStyle w:val="ListParagraph"/>
        <w:numPr>
          <w:ilvl w:val="0"/>
          <w:numId w:val="10"/>
        </w:numPr>
        <w:spacing w:lineRule="auto" w:line="360"/>
        <w:ind w:left="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Naknade za pomoć poduzetnicima na području Općine</w:t>
        <w:tab/>
        <w:t xml:space="preserve">          10.000,00 EUR</w:t>
      </w:r>
    </w:p>
    <w:p>
      <w:pPr>
        <w:pStyle w:val="ListParagraph"/>
        <w:spacing w:lineRule="auto" w:line="360"/>
        <w:ind w:left="644"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Opći cilj:</w:t>
      </w:r>
      <w:r>
        <w:rPr>
          <w:rFonts w:cs="Times New Roman" w:ascii="Times New Roman" w:hAnsi="Times New Roman"/>
          <w:sz w:val="24"/>
          <w:szCs w:val="24"/>
        </w:rPr>
        <w:t xml:space="preserve"> Pomoć mladim obiteljima sa području općine i pomoć novootvorenim poduzetnicima sa područja općine, stipendiranje uspješnih studenata sa područja Općine.</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Pokazatelji uspješnosti:</w:t>
      </w:r>
      <w:r>
        <w:rPr>
          <w:rFonts w:cs="Times New Roman" w:ascii="Times New Roman" w:hAnsi="Times New Roman"/>
          <w:sz w:val="24"/>
          <w:szCs w:val="24"/>
        </w:rPr>
        <w:t xml:space="preserve"> Broj realiziranih zahtjeva upućenih prema Općini za pomoć za novorođeno dijete, za sufinanciranje kupovine kuće i zahtjeva za pomoć poduzetnicima, broj stipendiranih studenata.</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b/>
          <w:b/>
          <w:bCs/>
          <w:sz w:val="26"/>
          <w:szCs w:val="26"/>
        </w:rPr>
      </w:pPr>
      <w:r>
        <w:rPr>
          <w:rFonts w:cs="Times New Roman" w:ascii="Times New Roman" w:hAnsi="Times New Roman"/>
          <w:b/>
          <w:bCs/>
          <w:sz w:val="26"/>
          <w:szCs w:val="26"/>
        </w:rPr>
        <w:t>Program 11: Zaželi 340.000,00 EUR</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Unutar ovog programa planirani su rashodi u ukupni iznosu od 340.000,00 EUR, a odnose se na aktivnost realizacije projekta Zaželi prevencija institucionalizacije -  Zaželi Negoslavci - faza IV. </w:t>
      </w:r>
    </w:p>
    <w:p>
      <w:pPr>
        <w:pStyle w:val="ListParagraph"/>
        <w:numPr>
          <w:ilvl w:val="0"/>
          <w:numId w:val="11"/>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Rashodi za zaposlene</w:t>
        <w:tab/>
        <w:t xml:space="preserve">           233.000,00 EUR</w:t>
      </w:r>
    </w:p>
    <w:p>
      <w:pPr>
        <w:pStyle w:val="ListParagraph"/>
        <w:numPr>
          <w:ilvl w:val="0"/>
          <w:numId w:val="11"/>
        </w:numPr>
        <w:spacing w:lineRule="auto" w:line="360"/>
        <w:ind w:left="0" w:hanging="0"/>
        <w:jc w:val="both"/>
        <w:rPr>
          <w:rFonts w:ascii="Times New Roman" w:hAnsi="Times New Roman" w:cs="Times New Roman"/>
          <w:b/>
          <w:b/>
          <w:bCs/>
          <w:sz w:val="24"/>
          <w:szCs w:val="24"/>
        </w:rPr>
      </w:pPr>
      <w:r>
        <w:rPr>
          <w:rFonts w:cs="Times New Roman" w:ascii="Times New Roman" w:hAnsi="Times New Roman"/>
          <w:b/>
          <w:bCs/>
          <w:sz w:val="24"/>
          <w:szCs w:val="24"/>
        </w:rPr>
        <w:t>Materijalni rashodi</w:t>
        <w:tab/>
        <w:t xml:space="preserve">                      107.000,00 EUR</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Opći cilj:</w:t>
      </w:r>
      <w:r>
        <w:rPr>
          <w:rFonts w:cs="Times New Roman" w:ascii="Times New Roman" w:hAnsi="Times New Roman"/>
          <w:sz w:val="24"/>
          <w:szCs w:val="24"/>
        </w:rPr>
        <w:t xml:space="preserve"> Pomoć starima i nemoćnima preko 65 godina, gdje će se zaposliti 21 osoba koje će pružati usluge pomoći u kući navedenim osobama.</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b/>
          <w:bCs/>
          <w:sz w:val="24"/>
          <w:szCs w:val="24"/>
        </w:rPr>
        <w:t>Pokazatelji uspješnosti:</w:t>
      </w:r>
      <w:r>
        <w:rPr>
          <w:rFonts w:cs="Times New Roman" w:ascii="Times New Roman" w:hAnsi="Times New Roman"/>
          <w:sz w:val="24"/>
          <w:szCs w:val="24"/>
        </w:rPr>
        <w:t xml:space="preserve"> Zapošljavanje žena na poslovima pružanja potpore i pomoći starim i nemoćnim osobama kao i poboljšanje kvalitete života krajnjih korisnika tj. osoba u starijoj životnoj dobi pružajući im podršku u svakodnevnom životu.</w:t>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Ovaj Proračun stupa na snagu 8 (osmog) dana od dana objave u Službenom glasniku Općine Negoslavci, a primjenjuje se od 01. siječnja 2024. godine.</w:t>
      </w:r>
    </w:p>
    <w:p>
      <w:pPr>
        <w:pStyle w:val="Normal"/>
        <w:spacing w:lineRule="auto" w:line="360" w:before="0" w:after="0"/>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contextualSpacing/>
        <w:jc w:val="right"/>
        <w:rPr>
          <w:rFonts w:ascii="Times New Roman" w:hAnsi="Times New Roman" w:cs="Times New Roman"/>
          <w:b/>
          <w:b/>
          <w:bCs/>
          <w:sz w:val="24"/>
          <w:szCs w:val="24"/>
        </w:rPr>
      </w:pPr>
      <w:r>
        <w:rPr>
          <w:rFonts w:cs="Times New Roman" w:ascii="Times New Roman" w:hAnsi="Times New Roman"/>
          <w:b/>
          <w:bCs/>
          <w:sz w:val="24"/>
          <w:szCs w:val="24"/>
        </w:rPr>
        <w:t>PREDSJEDNIK OPĆINSKOG VIJEĆA</w:t>
      </w:r>
    </w:p>
    <w:p>
      <w:pPr>
        <w:pStyle w:val="Normal"/>
        <w:spacing w:lineRule="auto" w:line="360" w:before="0" w:after="0"/>
        <w:contextualSpacing/>
        <w:jc w:val="right"/>
        <w:rPr>
          <w:rFonts w:ascii="Times New Roman" w:hAnsi="Times New Roman" w:cs="Times New Roman"/>
          <w:sz w:val="24"/>
          <w:szCs w:val="24"/>
        </w:rPr>
      </w:pPr>
      <w:r>
        <w:rPr>
          <w:rFonts w:cs="Times New Roman" w:ascii="Times New Roman" w:hAnsi="Times New Roman"/>
          <w:sz w:val="24"/>
          <w:szCs w:val="24"/>
        </w:rPr>
        <w:t>Miodrag Mišanović</w:t>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86" w:hanging="36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10">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11">
    <w:lvl w:ilvl="0">
      <w:start w:val="1"/>
      <w:numFmt w:val="decimal"/>
      <w:lvlText w:val="%1."/>
      <w:lvlJc w:val="left"/>
      <w:pPr>
        <w:tabs>
          <w:tab w:val="num" w:pos="0"/>
        </w:tabs>
        <w:ind w:left="6598" w:hanging="360"/>
      </w:pPr>
      <w:rPr/>
    </w:lvl>
    <w:lvl w:ilvl="1">
      <w:start w:val="1"/>
      <w:numFmt w:val="lowerLetter"/>
      <w:lvlText w:val="%2."/>
      <w:lvlJc w:val="left"/>
      <w:pPr>
        <w:tabs>
          <w:tab w:val="num" w:pos="0"/>
        </w:tabs>
        <w:ind w:left="7318" w:hanging="360"/>
      </w:pPr>
      <w:rPr/>
    </w:lvl>
    <w:lvl w:ilvl="2">
      <w:start w:val="1"/>
      <w:numFmt w:val="lowerRoman"/>
      <w:lvlText w:val="%3."/>
      <w:lvlJc w:val="right"/>
      <w:pPr>
        <w:tabs>
          <w:tab w:val="num" w:pos="0"/>
        </w:tabs>
        <w:ind w:left="8038" w:hanging="180"/>
      </w:pPr>
      <w:rPr/>
    </w:lvl>
    <w:lvl w:ilvl="3">
      <w:start w:val="1"/>
      <w:numFmt w:val="decimal"/>
      <w:lvlText w:val="%4."/>
      <w:lvlJc w:val="left"/>
      <w:pPr>
        <w:tabs>
          <w:tab w:val="num" w:pos="0"/>
        </w:tabs>
        <w:ind w:left="8758" w:hanging="360"/>
      </w:pPr>
      <w:rPr/>
    </w:lvl>
    <w:lvl w:ilvl="4">
      <w:start w:val="1"/>
      <w:numFmt w:val="lowerLetter"/>
      <w:lvlText w:val="%5."/>
      <w:lvlJc w:val="left"/>
      <w:pPr>
        <w:tabs>
          <w:tab w:val="num" w:pos="0"/>
        </w:tabs>
        <w:ind w:left="9478" w:hanging="360"/>
      </w:pPr>
      <w:rPr/>
    </w:lvl>
    <w:lvl w:ilvl="5">
      <w:start w:val="1"/>
      <w:numFmt w:val="lowerRoman"/>
      <w:lvlText w:val="%6."/>
      <w:lvlJc w:val="right"/>
      <w:pPr>
        <w:tabs>
          <w:tab w:val="num" w:pos="0"/>
        </w:tabs>
        <w:ind w:left="10198" w:hanging="180"/>
      </w:pPr>
      <w:rPr/>
    </w:lvl>
    <w:lvl w:ilvl="6">
      <w:start w:val="1"/>
      <w:numFmt w:val="decimal"/>
      <w:lvlText w:val="%7."/>
      <w:lvlJc w:val="left"/>
      <w:pPr>
        <w:tabs>
          <w:tab w:val="num" w:pos="0"/>
        </w:tabs>
        <w:ind w:left="10918" w:hanging="360"/>
      </w:pPr>
      <w:rPr/>
    </w:lvl>
    <w:lvl w:ilvl="7">
      <w:start w:val="1"/>
      <w:numFmt w:val="lowerLetter"/>
      <w:lvlText w:val="%8."/>
      <w:lvlJc w:val="left"/>
      <w:pPr>
        <w:tabs>
          <w:tab w:val="num" w:pos="0"/>
        </w:tabs>
        <w:ind w:left="11638" w:hanging="360"/>
      </w:pPr>
      <w:rPr/>
    </w:lvl>
    <w:lvl w:ilvl="8">
      <w:start w:val="1"/>
      <w:numFmt w:val="lowerRoman"/>
      <w:lvlText w:val="%9."/>
      <w:lvlJc w:val="right"/>
      <w:pPr>
        <w:tabs>
          <w:tab w:val="num" w:pos="0"/>
        </w:tabs>
        <w:ind w:left="1235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54d2"/>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hr-HR" w:val="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uiPriority w:val="99"/>
    <w:qFormat/>
    <w:rsid w:val="003909ba"/>
    <w:rPr>
      <w:rFonts w:ascii="Calibri" w:hAnsi="Calibri" w:eastAsia="Calibri" w:cs="Arial"/>
      <w:sz w:val="20"/>
      <w:szCs w:val="20"/>
      <w:lang w:eastAsia="hr-HR"/>
    </w:rPr>
  </w:style>
  <w:style w:type="character" w:styleId="PodnojeChar" w:customStyle="1">
    <w:name w:val="Podnožje Char"/>
    <w:basedOn w:val="DefaultParagraphFont"/>
    <w:uiPriority w:val="99"/>
    <w:qFormat/>
    <w:rsid w:val="003909ba"/>
    <w:rPr>
      <w:rFonts w:ascii="Calibri" w:hAnsi="Calibri" w:eastAsia="Calibri" w:cs="Arial"/>
      <w:sz w:val="20"/>
      <w:szCs w:val="20"/>
      <w:lang w:eastAsia="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Spacing">
    <w:name w:val="No Spacing"/>
    <w:uiPriority w:val="1"/>
    <w:qFormat/>
    <w:rsid w:val="00953774"/>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hr-HR" w:val="hr-HR" w:bidi="ar-SA"/>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909ba"/>
    <w:pPr>
      <w:tabs>
        <w:tab w:val="clear" w:pos="708"/>
        <w:tab w:val="center" w:pos="4536" w:leader="none"/>
        <w:tab w:val="right" w:pos="9072" w:leader="none"/>
      </w:tabs>
    </w:pPr>
    <w:rPr/>
  </w:style>
  <w:style w:type="paragraph" w:styleId="Podnoje">
    <w:name w:val="Footer"/>
    <w:basedOn w:val="Normal"/>
    <w:link w:val="PodnojeChar"/>
    <w:uiPriority w:val="99"/>
    <w:unhideWhenUsed/>
    <w:rsid w:val="003909ba"/>
    <w:pPr>
      <w:tabs>
        <w:tab w:val="clear" w:pos="708"/>
        <w:tab w:val="center" w:pos="4536" w:leader="none"/>
        <w:tab w:val="right" w:pos="9072" w:leader="none"/>
      </w:tabs>
    </w:pPr>
    <w:rPr/>
  </w:style>
  <w:style w:type="paragraph" w:styleId="ListParagraph">
    <w:name w:val="List Paragraph"/>
    <w:basedOn w:val="Normal"/>
    <w:uiPriority w:val="34"/>
    <w:qFormat/>
    <w:rsid w:val="0004266c"/>
    <w:pPr>
      <w:spacing w:before="0" w:after="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Application>LibreOffice/7.4.1.2$Windows_X86_64 LibreOffice_project/3c58a8f3a960df8bc8fd77b461821e42c061c5f0</Application>
  <AppVersion>15.0000</AppVersion>
  <Pages>10</Pages>
  <Words>1941</Words>
  <Characters>12028</Characters>
  <CharactersWithSpaces>15575</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2023-01-05T08:08:00Z</dcterms:created>
  <dc:creator>Korisnik</dc:creator>
  <dc:description/>
  <dc:language>hr-HR</dc:language>
  <cp:lastModifiedBy>Korisnik</cp:lastModifiedBy>
  <cp:lastPrinted>2024-01-11T10:13:00Z</cp:lastPrinted>
  <dcterms:modified xsi:type="dcterms:W3CDTF">2024-01-11T11:19:00Z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