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OPĆINA NEGOSLAVCI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OBRAZLOŽENJE  II. IZMJENA I DOPUNA PRORAČUNA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OPĆINE NEGOSLAVCI ZA 2023. GODINU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Pravni temelj za donošenje II. Izmjena i dopuna Proračuna Općine Negoslavci  za 2023. godinu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članak 10. i članak 45. Zakona o proračunu („Narodne novine“, broj 144/21)</w:t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 xml:space="preserve">članak 16. – 31. Zakona o proračunu („Narodne novine“, broj 144/21)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RAZLOZI ZA DONOŠENJE II. IZMJENA I DOPUNA PRORAČUNA OPĆINE NEGOSLAVCI  ZA 2023. GODINU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Zakonom o proračunu («Narodne novine», broj 144/21), predviđeno je da se tijekom proračunske godine može raditi novo uravnoteženje Proračuna putem izmjena i dopuna, prema postupku za donošenje Proračuna. Sukladno dosadašnjem ostvarenju prihoda, kao i izvršenju rashoda u odnosu na Plan 2022. te procjeni ostvarenja do kraja godine, potrebno je izvršiti usklađenje prihoda i rashoda proračuna, odnosno donijeti ove izmjene i dopune proračuna.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Općinsko vijeće Općine Negoslavci u prosincu 2022. godine usvojilo Proračun Općine Negoslavci za 2023. godinu („Službeni glasnik Općine Negoslavci 8/22) u ukupnom iznosu od 1.754.927,33 eura.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Sredstva Proračuna za 2023. godinu planirana su uzimajući u obzir pokazatelje o gospodarskim kretanjima u Republici Hrvatskoj, prema Smjernicama za izradu Državnog proračuna Republike Hrvatske, kao i aktualnim podacima Državnog zavoda za statistiku. Također, uzeti su u obzir i pokazatelji o ostvarenju prihoda i rashoda Proračuna za prva tri kvartala 2022.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donošenja Proračuna za 2023. godinu do kraja prosinca 2023. godine ukazala se potreba za donošenjem izmjena proračuna iz slijedećih razloga:</w:t>
      </w:r>
    </w:p>
    <w:p>
      <w:pPr>
        <w:pStyle w:val="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određeni projekti su prijavljeni međutim sredstva još nisu odobrena sredstva stoga je bilo potrebno raditi izmjene i dopune u prihodima i  rashodima.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Sukladno prethodno navedenome te članku 10. i 45. Zakona o proračunu, potrebno je pristupiti izradi II. Izmjena i dopunama Proračuna za 2023. godinu.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SVEUKUPNO PRORAČUN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Drugim izmjenama i dopunama proračuna općine za 2023. godinu proračun se smanjuje za 1.161.066,35 eura te iznosi 1.017.184,53 eura.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PRIHODI I PRIMICI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Prihodi iznose 1.017.184,53 eura.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Povećanje sveukupno u iznosu od 111.448,97 eura, a smanjenje u 1.161.066,35 eura.</w:t>
      </w:r>
    </w:p>
    <w:p>
      <w:pPr>
        <w:pStyle w:val="Standard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de-DE"/>
        </w:rPr>
        <w:t>Prihodi se uskla</w:t>
      </w:r>
      <w:r>
        <w:rPr>
          <w:rFonts w:cs="Times New Roman" w:ascii="Times New Roman" w:hAnsi="Times New Roman"/>
          <w:sz w:val="24"/>
          <w:szCs w:val="24"/>
        </w:rPr>
        <w:t>đaju po kontima te su promjene kod: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4678"/>
        <w:gridCol w:w="1844"/>
        <w:gridCol w:w="1700"/>
      </w:tblGrid>
      <w:tr>
        <w:trPr>
          <w:trHeight w:val="1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bookmarkStart w:id="0" w:name="_Hlk145055221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KONTO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NAZIV PRORA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ČUNSKE POZICIJE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POVE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ĆANJE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SMANJENJE</w:t>
            </w:r>
          </w:p>
        </w:tc>
      </w:tr>
      <w:tr>
        <w:trPr>
          <w:trHeight w:val="1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Porez i prirez na dohodak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16.484,84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614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Posebni na robu i usluge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150,00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633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Pomoć iz proračuna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48.714,35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68.872,38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Pomoći temeljem prijenosa EU sredstava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1.023.908,97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Prihodi od kamata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Prihodi od nefinacijske imovine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4.200,00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1.508,12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651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Administrativni (upravne) pristojbe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132,72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Prihodi po posebnim propisima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5.649,62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653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Komunalni doprinosi i druge naknade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398,17</w:t>
            </w:r>
          </w:p>
        </w:tc>
      </w:tr>
      <w:tr>
        <w:trPr>
          <w:trHeight w:val="326" w:hRule="atLeast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663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Prihodi od donacija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42.235,00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5055221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  <w:bookmarkEnd w:id="1"/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Glavno povećanje odnosi se na pomoć iz proračuna 48.714,35 eura, te na  Kapitalne donacije ZVO-a u iznosu od 42.000,00 eura, a smanjenje za projekta Izgradnje dječjeg vrtića u iznosu od 796.336,85 eura i </w:t>
      </w:r>
      <w:bookmarkStart w:id="2" w:name="_Hlk145051994"/>
      <w:r>
        <w:rPr>
          <w:rFonts w:cs="Times New Roman" w:ascii="Times New Roman" w:hAnsi="Times New Roman"/>
          <w:sz w:val="24"/>
          <w:szCs w:val="24"/>
        </w:rPr>
        <w:t xml:space="preserve">Projekat prekogranične suradnje u iznosu od 100.000,00 eura </w:t>
      </w:r>
      <w:bookmarkEnd w:id="2"/>
      <w:r>
        <w:rPr>
          <w:rFonts w:cs="Times New Roman" w:ascii="Times New Roman" w:hAnsi="Times New Roman"/>
          <w:sz w:val="24"/>
          <w:szCs w:val="24"/>
        </w:rPr>
        <w:t>koji su prijavljeni u 2023. godini ali će biti realizirani u 2024. godini.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RASHODI  I  IZDACI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Rashodi iznose 1.017.184,53 eura.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Povećanje sveukupno u iznosu od 384.219,67 eura, a smanjenje u iznosu 72.345,10 eura.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Glava 001 01</w:t>
        <w:tab/>
        <w:t>Općinsko vijeće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01</w:t>
      </w:r>
      <w:r>
        <w:rPr>
          <w:rFonts w:cs="Times New Roman" w:ascii="Times New Roman" w:hAnsi="Times New Roman"/>
          <w:sz w:val="24"/>
          <w:szCs w:val="24"/>
        </w:rPr>
        <w:t>: Donošenje akata i mjera iz djelokruga predstavničkog tijela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Unutar ovog programa smanjuju se Naknade članovima povjerenstva  u iznosu od 1.990,84 eura i sredstva za Premiju osiguranja imovine u iznosu od 1.300,00 eura.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Glava 001 03</w:t>
        <w:tab/>
        <w:t>Jedinstveni upravni odjel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PROGRAM 02: </w:t>
      </w:r>
      <w:r>
        <w:rPr>
          <w:rFonts w:cs="Times New Roman" w:ascii="Times New Roman" w:hAnsi="Times New Roman"/>
          <w:sz w:val="24"/>
          <w:szCs w:val="24"/>
        </w:rPr>
        <w:t>Donošenje i provedba akata i mjera iz djelokruga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Unutar ovog programa povećavaju se rashodi za zaposlene u iznosu od 10.693,05 eura, a smanjuju za 4.435,23 eura, povećavaju se Materijalni rashodi za 19.987,53 eura, a smanjuju za 87.916,15 eura.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Aktivnost</w:t>
      </w:r>
      <w:r>
        <w:rPr>
          <w:rFonts w:cs="Times New Roman" w:ascii="Times New Roman" w:hAnsi="Times New Roman"/>
          <w:sz w:val="24"/>
          <w:szCs w:val="24"/>
        </w:rPr>
        <w:t>: Bankarske usluge i usluge platnog prometa, povećavaju se za 800,00 eura, a smanjuju ta 800,00 eura.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Kapitalni projekt -Nabava dugotrajne imovine, dodaje se iznos od 37.000,00 eura, što se odnosi na nabavku Sportske opreme u iznosu od 33.000,00 eura, a smanjuje za 39.853,48 eura.  što se odnosi na projekt Dječje igralište.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04:</w:t>
      </w:r>
      <w:r>
        <w:rPr>
          <w:rFonts w:cs="Times New Roman" w:ascii="Times New Roman" w:hAnsi="Times New Roman"/>
          <w:sz w:val="24"/>
          <w:szCs w:val="24"/>
        </w:rPr>
        <w:t xml:space="preserve"> Javne potrebe u obrazovanju općine Negoslavci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Iznos u ovom programu se povećava za 6.300,00 eura, a smanjuje iznos od 7.918,98 eura što se u najvećoj mjeri odnosi na stavku Sufinanciranje školske prehrane..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05:</w:t>
      </w:r>
      <w:r>
        <w:rPr>
          <w:rFonts w:cs="Times New Roman" w:ascii="Times New Roman" w:hAnsi="Times New Roman"/>
          <w:sz w:val="24"/>
          <w:szCs w:val="24"/>
        </w:rPr>
        <w:t xml:space="preserve"> Održavanje objekta i uređaja komunalne infrastrukture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Povećanje u iznosu od 20.000,00 eura, a smanjenje 125.201,86eura.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Povećanje se odnosi na Investicijsko održavanje svlačionica NK Negoslavci u iznosu od 20.000,00 eura, dok je smanjenje u odnosu na Uređenje NK Negoslavci - obnova svlačionica u Uređenje groblja (parking i ograda-Minist. Polj.).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Obnova centra općine smanjenje za 37.581,68 eura, jer sredstva za realizaciju projekta nisu odobrena.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06</w:t>
      </w:r>
      <w:r>
        <w:rPr>
          <w:rFonts w:cs="Times New Roman" w:ascii="Times New Roman" w:hAnsi="Times New Roman"/>
          <w:sz w:val="24"/>
          <w:szCs w:val="24"/>
        </w:rPr>
        <w:t>: Izgradnja objekata i uređenje Komunalne infrastrukture i opremanje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ovom Programu imamo smanjenje u iznosu od 846.671,31 eura, gdje je najveća stavka Izgradnja dječjeg vrtića.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07:</w:t>
      </w:r>
      <w:r>
        <w:rPr>
          <w:rFonts w:cs="Times New Roman" w:ascii="Times New Roman" w:hAnsi="Times New Roman"/>
          <w:sz w:val="24"/>
          <w:szCs w:val="24"/>
        </w:rPr>
        <w:t xml:space="preserve"> Program javnih potreba u soc. skrbi općine Negoslavci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Povećanje u iznosu od 6.563,86 eura, koje se odnosi na Ostale naknade građanima i kućanstvima,  a smanjenje u iznosu od 2.300,00 eura na stavci Pomoć obiteljima i kućanstvima.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08:</w:t>
      </w:r>
      <w:r>
        <w:rPr>
          <w:rFonts w:cs="Times New Roman" w:ascii="Times New Roman" w:hAnsi="Times New Roman"/>
          <w:sz w:val="24"/>
          <w:szCs w:val="24"/>
        </w:rPr>
        <w:t xml:space="preserve"> Program javnih potreba u kulturi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Povećanje u iznosu od 2.000,00 eura, na stavci Tekuće donacije nacionalnim manjinama, a smanjenje u iznosu od 19.226,49, koje se odnosi na Vjerske zajednice – pomoć u radu.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10:</w:t>
      </w:r>
      <w:r>
        <w:rPr>
          <w:rFonts w:cs="Times New Roman" w:ascii="Times New Roman" w:hAnsi="Times New Roman"/>
          <w:sz w:val="24"/>
          <w:szCs w:val="24"/>
        </w:rPr>
        <w:t xml:space="preserve"> Demografske mjere Općine Negoslavci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Ovdje imamo smanjenje u iznosu od 3.981,68 eura, koje se odnosi na Stipendije i školarine.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PROGRAM 11: </w:t>
      </w:r>
      <w:r>
        <w:rPr>
          <w:rFonts w:cs="Times New Roman" w:ascii="Times New Roman" w:hAnsi="Times New Roman"/>
          <w:sz w:val="24"/>
          <w:szCs w:val="24"/>
        </w:rPr>
        <w:t>Program "Zaželi"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Programu Zaželi je došlo do smanjenja u iznosu od 21.210,51 eura, a koje se odnosi na plaće zaposlenih u prethodnom razdoblju i određene materijalne rashode.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PREDSJEDNIK OPĆINSKOG VIJEĆA:</w:t>
      </w:r>
    </w:p>
    <w:p>
      <w:pPr>
        <w:pStyle w:val="Normal"/>
        <w:spacing w:before="0" w:after="200"/>
        <w:jc w:val="right"/>
        <w:rPr/>
      </w:pPr>
      <w:r>
        <w:rPr/>
        <w:t>Miodrag Mišanović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3f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be5d16"/>
    <w:pPr>
      <w:widowControl/>
      <w:suppressAutoHyphens w:val="true"/>
      <w:bidi w:val="0"/>
      <w:spacing w:lineRule="auto" w:line="240" w:before="0" w:after="200"/>
      <w:jc w:val="both"/>
    </w:pPr>
    <w:rPr>
      <w:rFonts w:ascii="Calibri" w:hAnsi="Calibri" w:eastAsia="SimSun" w:cs="Tahoma"/>
      <w:color w:val="auto"/>
      <w:kern w:val="2"/>
      <w:sz w:val="22"/>
      <w:szCs w:val="22"/>
      <w:lang w:val="hr-HR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1C4147D655324FA66B4355AB122039" ma:contentTypeVersion="2" ma:contentTypeDescription="Stvaranje novog dokumenta." ma:contentTypeScope="" ma:versionID="9dc6462e8cc12b353e4487ec57c11fb1">
  <xsd:schema xmlns:xsd="http://www.w3.org/2001/XMLSchema" xmlns:xs="http://www.w3.org/2001/XMLSchema" xmlns:p="http://schemas.microsoft.com/office/2006/metadata/properties" xmlns:ns3="879629b8-4486-408d-baf4-4406f8b4f33b" targetNamespace="http://schemas.microsoft.com/office/2006/metadata/properties" ma:root="true" ma:fieldsID="7179e4b3d3858ee25a25868c79b8db7a" ns3:_="">
    <xsd:import namespace="879629b8-4486-408d-baf4-4406f8b4f3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29b8-4486-408d-baf4-4406f8b4f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AA110-38FE-415A-8C4D-7F577A860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FE781-455B-46F9-AB4E-0191A4901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2371E-FBF7-4D0D-82D8-D634190F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29b8-4486-408d-baf4-4406f8b4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LibreOffice/7.4.1.2$Windows_X86_64 LibreOffice_project/3c58a8f3a960df8bc8fd77b461821e42c061c5f0</Application>
  <AppVersion>15.0000</AppVersion>
  <Pages>4</Pages>
  <Words>859</Words>
  <Characters>4906</Characters>
  <CharactersWithSpaces>6309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2023-09-08T05:34:00Z</dcterms:created>
  <dc:creator>Sandra Adžaga</dc:creator>
  <dc:description/>
  <dc:language>hr-HR</dc:language>
  <cp:lastModifiedBy/>
  <cp:lastPrinted>2023-09-08T07:41:00Z</cp:lastPrinted>
  <dcterms:modified xsi:type="dcterms:W3CDTF">2024-01-16T10:47:10Z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0x010100D11C4147D655324FA66B4355AB122039</vt:lpwstr>
  </property>
</Properties>
</file>