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REPUBLIKA HRVATSKA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VUKOVARSKO-SRIJEMSKA ŽUPANIJA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OPĆINA NEGOSLAVCI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Općinsko vijeće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eastAsia="Times New Roman" w:cs="Times New Roman"/>
          <w:b/>
          <w:color w:val="000000"/>
          <w:szCs w:val="24"/>
          <w:lang w:val="hr-HR" w:eastAsia="hr-HR"/>
        </w:rPr>
        <w:t>KLASA:</w:t>
      </w:r>
      <w:r>
        <w:rPr>
          <w:rFonts w:eastAsia="Times New Roman" w:cs="Times New Roman"/>
          <w:color w:val="000000"/>
          <w:szCs w:val="24"/>
          <w:lang w:val="hr-HR" w:eastAsia="hr-HR"/>
        </w:rPr>
        <w:t xml:space="preserve"> </w:t>
      </w:r>
      <w:r>
        <w:rPr>
          <w:rFonts w:eastAsia="Times New Roman" w:cs="Times New Roman"/>
          <w:color w:val="000000"/>
          <w:szCs w:val="24"/>
          <w:lang w:val="hr-HR" w:eastAsia="hr-HR"/>
        </w:rPr>
        <w:t>400-01</w:t>
      </w:r>
      <w:r>
        <w:rPr>
          <w:rFonts w:eastAsia="Times New Roman" w:cs="Times New Roman"/>
          <w:color w:val="000000"/>
          <w:szCs w:val="24"/>
          <w:lang w:val="hr-HR" w:eastAsia="hr-HR"/>
        </w:rPr>
        <w:t>/23</w:t>
      </w:r>
      <w:r>
        <w:rPr>
          <w:rFonts w:eastAsia="Times New Roman" w:cs="Times New Roman"/>
          <w:color w:val="000000"/>
          <w:szCs w:val="24"/>
          <w:lang w:val="hr-HR" w:eastAsia="hr-HR"/>
        </w:rPr>
        <w:t>-01/</w:t>
      </w:r>
      <w:r>
        <w:rPr>
          <w:rFonts w:eastAsia="Times New Roman" w:cs="Times New Roman"/>
          <w:color w:val="000000"/>
          <w:szCs w:val="24"/>
          <w:lang w:val="hr-HR" w:eastAsia="hr-HR"/>
        </w:rPr>
        <w:t>01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URBROJ:</w:t>
      </w:r>
      <w:r>
        <w:rPr>
          <w:rFonts w:eastAsia="Times New Roman" w:cs="Times New Roman"/>
          <w:szCs w:val="24"/>
          <w:lang w:val="hr-HR" w:eastAsia="hr-HR"/>
        </w:rPr>
        <w:t xml:space="preserve"> 219</w:t>
      </w:r>
      <w:r>
        <w:rPr>
          <w:rFonts w:eastAsia="Times New Roman" w:cs="Times New Roman"/>
          <w:color w:val="000000"/>
          <w:szCs w:val="24"/>
          <w:lang w:val="hr-HR" w:eastAsia="hr-HR"/>
        </w:rPr>
        <w:t>6-19-02-23</w:t>
      </w:r>
      <w:r>
        <w:rPr>
          <w:rFonts w:eastAsia="Times New Roman" w:cs="Times New Roman"/>
          <w:color w:val="000000"/>
          <w:szCs w:val="24"/>
          <w:lang w:val="hr-HR" w:eastAsia="hr-HR"/>
        </w:rPr>
        <w:t>-</w:t>
      </w:r>
      <w:r>
        <w:rPr>
          <w:rFonts w:eastAsia="Times New Roman" w:cs="Times New Roman"/>
          <w:color w:val="000000"/>
          <w:szCs w:val="24"/>
          <w:lang w:val="hr-HR" w:eastAsia="hr-HR"/>
        </w:rPr>
        <w:t>04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Negoslavci,</w:t>
      </w:r>
      <w:r>
        <w:rPr>
          <w:rFonts w:eastAsia="Times New Roman" w:cs="Times New Roman"/>
          <w:szCs w:val="24"/>
          <w:lang w:val="hr-HR" w:eastAsia="hr-HR"/>
        </w:rPr>
        <w:t xml:space="preserve"> 28.12.2023. godine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Na temelju članka 18., stavka 1. Zakona o proračunu („Narodne novine“ broj 144/21) i članka 19., stavka 1., točke 2. Statuta Općine Negoslavci („Službeni glasnik Općine Negoslavci” broj 1/21 i 7/23), Općinsko vijeće Općine Negoslavci na svojoj redovnoj sjednici održanoj dana 28.12.2023. godine donosi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O  D  L  U  K  U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o izvršavanju Proračuna Općine Negoslavci za 2024. godinu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I           OPĆE ODREDBE   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Ovom Odlukom utvrđuje se način izvršenja Proračuna Općine Negoslavci za 2024. godinu koji obuhvaća: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a) naplatu prihoda koji sukladno odredbama Zakona o financiranju jedinica lokalne samouprave i drugim propisima te temeljem Odluka Općinskog vijeća spadaju u nadležnost Općine,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b) raspodjelu prihoda i stavljanje sredstava na raspolaganje korisniku sredstava Proračuna (u daljnjem tekstu: korisnik),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c) upravljanje općinskom imovinom.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2.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U postupku izvršenja Proračuna za 2024. godinu korisnik ima prava, obveze i ovlaštenja utvrđene odredbama ove Odluke.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II         STRUKTURA PRORAČUNA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3.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Proračun sadrži Opći i Posebni dio.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Opći dio sadrži račun prihoda i rashoda u kojemu se iskazuju svi prihodi i rashodi po osnovnim namjenama.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Posebni dio Proračuna sastoji se od plana rashoda raspoređenih u programe prema organizacijskoj, ekonomskoj, funkcijskoj i lokacijskoj klasifikaciji.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  <w:bookmarkStart w:id="0" w:name="_GoBack"/>
      <w:bookmarkStart w:id="1" w:name="_GoBack"/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4.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Općina smije preuzeti obveze za koje su sredstva namjenski iskazana u posebnim dijelovima Proračuna, uz uvjet da je njihovo podmirenje usklađeno sa planiranim sredstvima.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III        IZVRŠAVANJE PRORAČUNA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5.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U slučaju da se proračunski prihodi ne naplaćuju u planiranim iznosima i predviđenom dinamikom tokom prvog tromjesečja, prioritet u izvršavanju Proračuna imat će sredstva kojima se osigurava redovna djelatnost Općine.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6.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 </w:t>
      </w:r>
      <w:r>
        <w:rPr>
          <w:rFonts w:eastAsia="Times New Roman" w:cs="Times New Roman"/>
          <w:szCs w:val="24"/>
          <w:lang w:val="hr-HR" w:eastAsia="hr-HR"/>
        </w:rPr>
        <w:t>Korisnik, proračunska sredstva smije koristiti samo za namjene koje su određene proračunom i to do visine utvrđene u Posebnom dijelu.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 </w:t>
      </w:r>
      <w:r>
        <w:rPr>
          <w:rFonts w:eastAsia="Times New Roman" w:cs="Times New Roman"/>
          <w:szCs w:val="24"/>
          <w:lang w:val="hr-HR" w:eastAsia="hr-HR"/>
        </w:rPr>
        <w:t xml:space="preserve">Subjektima koji su nositelji rashoda, a koji nisu definirani kao proračunski korisnici, sredstva za donacije utvrđuju se u programima raspodjele donacija neprofitnim organizacijama. 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7.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Korisnik smije imati samo jedan žiro račun.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8.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Korisnik smije koristiti proračunska sredstva u skladu sa svojim financijskim planom, prema redoslijedu utvrđenom mjesečnim planovima.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Nadzor nad korištenjem proračunskih sredstava i zakonitom izvršenju Proračuna, vrši Općinsko vijeće.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9.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Proračun se izvršava na temelju financijskih planova korisnika, sukladno raspoloživim sredstvima.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Pogrešno ili više uplaćeni vlastiti prihodi proračuna, vraćaju se uplatiteljima na teret istih prihoda, o čemu Odluku donosi Općinski načelnik Općine Negoslavci.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Preraspodjela sredstava proračuna može se izvršiti najviše do 5% rashoda i izdataka po odobrenju Općinskog načelnika.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10.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Sredstva za ostala materijalna prava, isplaćivat će se sukladno posebnim propisima do visine sredstava osiguranih za iste u Posebnom dijelu Proračuna.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11.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Općina se može kreditno dugoročno zadužiti prvenstveno radi investiranja koje se financira iz Proračuna, a koje odlukom potvrdi Općinsko vijeće uz prethodnu suglasnost Vlade RH.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12.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Ukupna godišnja obveza zaduživanja Proračuna može iznositi najviše 20% ostvarenih prihoda prethodne godine.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U ovaj iznos se uključuje iznos anuiteta po kreditima te eventualne neplaćene obveze iz prethodnih godina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13.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Općina se može kratkoročno zaduživati suglasno Zakonu o proračunu samo za premošćivanje razlike nastale zbog različite dinamike priljeva sredstava i dospijeća obveza.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14.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 svim ugovornim obvezama odlučuje Općinsko vijeće po prijedlogu Općinskog načelnika.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Općinski načelnik izvještava Općinsko vijeće o izvršenju svih ugovornih obveza kao i ugovornim obvezama preuzetim između sjednica Vijeća.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15.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Proračun se izvršava do 31.12.2024. godine.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Financijske obveze koje ne budu podmirene do 31.12.2024. godine, podmiruju se iz namjenski odobrenih sredstava Proračuna za 2025. godinu.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IV       UPRAVLJANJE OPĆINSKOM IMOVINOM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16.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Općinskom imovinom upravlja i raspolaže Općinski načelnik, sukladno odredbama posebnog Zakona, Statuta i ove Odluke.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17.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Slobodnim novčanim sredstvima na računu Proračuna upravlja Općinski načelnik Općine Negoslavci.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Prihodi od upravljanja slobodnim novčanim sredstvima uplaćuju se u Proračun.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Naredbodavac za izvršenje Proračuna je Općinski načelnik Općine.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18.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 xml:space="preserve">Sufinanciranje rada neprofitnih organizacija, kulturnih i sportskih udruga, političkih stranaka i proračunskih </w:t>
      </w:r>
      <w:r>
        <w:rPr>
          <w:rFonts w:eastAsia="Times New Roman" w:cs="Times New Roman"/>
          <w:color w:val="000000"/>
          <w:szCs w:val="24"/>
          <w:lang w:val="hr-HR" w:eastAsia="hr-HR"/>
        </w:rPr>
        <w:t>korisnika, vršit će se prijenosom sredstava na žiro račune, prema financijskom planu i ostvarenom prilivu sredstava u proračun temeljem Odluke Općinskog načelnika.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color w:val="000000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color w:val="000000"/>
          <w:szCs w:val="24"/>
          <w:lang w:val="hr-HR" w:eastAsia="hr-HR"/>
        </w:rPr>
        <w:t>Sredstva redovne potpore obiteljima i jednokratne pomoći, odobrava Rješenjem Jedinstveni upravni odjela na temelju pismenih zamolbi podnositelja.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19.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Općinski načelnik može u opravdanim slučajevima otpisati ili djelomično otpisati potraživanja do visine pojedinačnog potraži</w:t>
      </w:r>
      <w:r>
        <w:rPr>
          <w:rFonts w:eastAsia="Times New Roman" w:cs="Times New Roman"/>
          <w:color w:val="000000"/>
          <w:szCs w:val="24"/>
          <w:lang w:val="hr-HR" w:eastAsia="hr-HR"/>
        </w:rPr>
        <w:t>vanja od 6.000,00 eura.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Općinski načelnik ili osoba koju ovlasti može odobriti odgodu plaćanja duga najviše do 6 mjeseci, a u izuzetnim slučajevima do godinu dana.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V        ZAVRŠNE ODREDBE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20.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Unutarnji nadzor nad zakonitošću, svrhovitošću i pravodobnosti korištenja proračunskih sredstava, vrši tijelo koje svojim aktom imenuje Općinsko vijeće.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21.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Bilanca prihoda i izdataka Proračuna 2024. godine sastavni je dio ove Odluke.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22.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Odluka će se objaviti u Službenom glasniku Općine Negoslavci, a stupa na snagu i primjenjuje se od 01.01.2024. godine.</w:t>
      </w:r>
    </w:p>
    <w:p>
      <w:pPr>
        <w:pStyle w:val="Normal"/>
        <w:bidi w:val="0"/>
        <w:ind w:right="-57" w:hanging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ind w:right="-57" w:hanging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ind w:right="-57" w:hanging="0"/>
        <w:jc w:val="righ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                                                   </w:t>
      </w:r>
      <w:r>
        <w:rPr>
          <w:rFonts w:eastAsia="Times New Roman" w:cs="Times New Roman"/>
          <w:b/>
          <w:szCs w:val="24"/>
          <w:lang w:val="hr-HR" w:eastAsia="hr-HR"/>
        </w:rPr>
        <w:t>PREDSJEDNIK OPĆINSKOG VIJEĆA</w:t>
      </w:r>
    </w:p>
    <w:p>
      <w:pPr>
        <w:pStyle w:val="Normal"/>
        <w:bidi w:val="0"/>
        <w:ind w:right="-57" w:hanging="0"/>
        <w:jc w:val="right"/>
        <w:rPr>
          <w:rFonts w:eastAsia="Times New Roman" w:cs="Times New Roman"/>
          <w:szCs w:val="24"/>
          <w:lang w:val="pl-PL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                                                             </w:t>
      </w:r>
      <w:r>
        <w:rPr>
          <w:rFonts w:eastAsia="Times New Roman" w:cs="Times New Roman"/>
          <w:b w:val="false"/>
          <w:bCs w:val="false"/>
          <w:szCs w:val="24"/>
          <w:lang w:val="hr-HR" w:eastAsia="hr-HR"/>
        </w:rPr>
        <w:t xml:space="preserve">  </w:t>
      </w:r>
      <w:r>
        <w:rPr>
          <w:rFonts w:eastAsia="Times New Roman" w:cs="Times New Roman"/>
          <w:b w:val="false"/>
          <w:bCs w:val="false"/>
          <w:szCs w:val="24"/>
          <w:lang w:val="pl-PL" w:eastAsia="hr-HR"/>
        </w:rPr>
        <w:t>Miodrag Mišanović</w:t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LibreOffice/7.4.1.2$Windows_X86_64 LibreOffice_project/3c58a8f3a960df8bc8fd77b461821e42c061c5f0</Application>
  <AppVersion>15.0000</AppVersion>
  <Pages>3</Pages>
  <Words>771</Words>
  <Characters>4898</Characters>
  <CharactersWithSpaces>5959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2024-01-04T13:33:59Z</dcterms:created>
  <dc:creator/>
  <dc:description/>
  <dc:language>hr-HR</dc:language>
  <cp:lastModifiedBy/>
  <dcterms:modified xsi:type="dcterms:W3CDTF">2024-01-08T09:09:09Z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