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color w:val="000000"/>
          <w:szCs w:val="24"/>
          <w:lang w:val="hr-HR"/>
        </w:rPr>
        <w:t xml:space="preserve"> 400-0</w:t>
      </w:r>
      <w:r>
        <w:rPr>
          <w:rFonts w:eastAsia="Calibri" w:cs="Times New Roman"/>
          <w:color w:val="000000"/>
        </w:rPr>
        <w:t>2/23-01/01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2196-19-0</w:t>
      </w:r>
      <w:r>
        <w:rPr>
          <w:rFonts w:eastAsia="Calibri" w:cs="Times New Roman"/>
          <w:color w:val="000000"/>
          <w:szCs w:val="24"/>
          <w:lang w:val="hr-HR"/>
        </w:rPr>
        <w:t>2-23-</w:t>
      </w:r>
      <w:r>
        <w:rPr>
          <w:rFonts w:eastAsia="Calibri" w:cs="Times New Roman"/>
          <w:color w:val="000000"/>
          <w:szCs w:val="24"/>
          <w:lang w:val="hr-HR"/>
        </w:rPr>
        <w:t>17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28.12.2023.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Na temelju članka 48 i 49 Zakona o predškolskom odgoju i obrazovanju („Narodne novine“ broj </w:t>
      </w:r>
      <w:hyperlink r:id="rId3">
        <w:r>
          <w:rPr>
            <w:rFonts w:eastAsia="Calibri" w:cs="Times New Roman"/>
            <w:szCs w:val="24"/>
            <w:lang w:val="hr-HR"/>
          </w:rPr>
          <w:t>10/97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4">
        <w:r>
          <w:rPr>
            <w:rFonts w:eastAsia="Calibri" w:cs="Times New Roman"/>
            <w:szCs w:val="24"/>
            <w:lang w:val="hr-HR"/>
          </w:rPr>
          <w:t>107/07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5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6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, 57/22 i 101/23), u svezi sa člankom 143. Zakona o odgoju i obrazovanju u osnovnoj i srednjoj školi („Narodne novine“ broj </w:t>
      </w:r>
      <w:hyperlink r:id="rId7">
        <w:r>
          <w:rPr>
            <w:rFonts w:eastAsia="Calibri" w:cs="Times New Roman"/>
            <w:szCs w:val="24"/>
            <w:lang w:val="hr-HR"/>
          </w:rPr>
          <w:t>87/08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8">
        <w:r>
          <w:rPr>
            <w:rFonts w:eastAsia="Calibri" w:cs="Times New Roman"/>
            <w:szCs w:val="24"/>
            <w:lang w:val="hr-HR"/>
          </w:rPr>
          <w:t>86/09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9">
        <w:r>
          <w:rPr>
            <w:rFonts w:eastAsia="Calibri" w:cs="Times New Roman"/>
            <w:szCs w:val="24"/>
            <w:lang w:val="hr-HR"/>
          </w:rPr>
          <w:t>92/10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0">
        <w:r>
          <w:rPr>
            <w:rFonts w:eastAsia="Calibri" w:cs="Times New Roman"/>
            <w:szCs w:val="24"/>
            <w:lang w:val="hr-HR"/>
          </w:rPr>
          <w:t>105/10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1">
        <w:r>
          <w:rPr>
            <w:rFonts w:eastAsia="Calibri" w:cs="Times New Roman"/>
            <w:szCs w:val="24"/>
            <w:lang w:val="hr-HR"/>
          </w:rPr>
          <w:t>90/11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2">
        <w:r>
          <w:rPr>
            <w:rFonts w:eastAsia="Calibri" w:cs="Times New Roman"/>
            <w:szCs w:val="24"/>
            <w:lang w:val="hr-HR"/>
          </w:rPr>
          <w:t>5/12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3">
        <w:r>
          <w:rPr>
            <w:rFonts w:eastAsia="Calibri" w:cs="Times New Roman"/>
            <w:szCs w:val="24"/>
            <w:lang w:val="hr-HR"/>
          </w:rPr>
          <w:t>16/12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4">
        <w:r>
          <w:rPr>
            <w:rFonts w:eastAsia="Calibri" w:cs="Times New Roman"/>
            <w:szCs w:val="24"/>
            <w:lang w:val="hr-HR"/>
          </w:rPr>
          <w:t>86/12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5">
        <w:r>
          <w:rPr>
            <w:rFonts w:eastAsia="Calibri" w:cs="Times New Roman"/>
            <w:szCs w:val="24"/>
            <w:lang w:val="hr-HR"/>
          </w:rPr>
          <w:t>126/12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6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7">
        <w:r>
          <w:rPr>
            <w:rFonts w:eastAsia="Calibri" w:cs="Times New Roman"/>
            <w:szCs w:val="24"/>
            <w:lang w:val="hr-HR"/>
          </w:rPr>
          <w:t>152/14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8">
        <w:r>
          <w:rPr>
            <w:rFonts w:eastAsia="Calibri" w:cs="Times New Roman"/>
            <w:szCs w:val="24"/>
            <w:lang w:val="hr-HR"/>
          </w:rPr>
          <w:t>07/17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9" w:tgtFrame="_blank">
        <w:r>
          <w:rPr>
            <w:rFonts w:eastAsia="Calibri" w:cs="Times New Roman"/>
            <w:szCs w:val="24"/>
            <w:lang w:val="hr-HR"/>
          </w:rPr>
          <w:t>68/18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20" w:tgtFrame="_blank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21">
        <w:r>
          <w:rPr>
            <w:rFonts w:eastAsia="Calibri" w:cs="Times New Roman"/>
            <w:szCs w:val="24"/>
            <w:lang w:val="hr-HR"/>
          </w:rPr>
          <w:t>64/20</w:t>
        </w:r>
      </w:hyperlink>
      <w:r>
        <w:rPr>
          <w:rFonts w:eastAsia="Calibri" w:cs="Times New Roman"/>
          <w:szCs w:val="24"/>
          <w:lang w:val="hr-HR"/>
        </w:rPr>
        <w:t xml:space="preserve"> i 151/22) i na temelju članka </w:t>
      </w:r>
      <w:r>
        <w:rPr>
          <w:lang w:val="hr-HR"/>
        </w:rPr>
        <w:t>19., stavka 1., točke 2. Statuta Općine Negoslavci („Službeni glasnik Općine Negoslavci” broj 1/21 i 7/23)</w:t>
      </w:r>
      <w:r>
        <w:rPr>
          <w:rFonts w:eastAsia="Calibri" w:cs="Times New Roman"/>
          <w:szCs w:val="24"/>
          <w:lang w:val="hr-HR"/>
        </w:rPr>
        <w:t>, Općinsko vijeće Općine Negoslavci na svojoj redovnoj sjednici održanoj dana 28.12.2023. godine donosi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bookmarkStart w:id="0" w:name="_Toc62727858"/>
      <w:bookmarkStart w:id="1" w:name="_GoBack"/>
      <w:r>
        <w:rPr>
          <w:rFonts w:eastAsia="Calibri" w:cs="Times New Roman"/>
          <w:b/>
          <w:szCs w:val="24"/>
          <w:lang w:val="hr-HR"/>
        </w:rPr>
        <w:t>Program javnih potreba u obrazovanju Općine Negoslavci za 2024. godinu</w:t>
      </w:r>
      <w:bookmarkEnd w:id="0"/>
      <w:bookmarkEnd w:id="1"/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Za ostvarenje Programa javnih potreba u obrazovanju Općine Negoslavci za 2024. godinu planira se: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Predškolsko obrazovanje</w:t>
        <w:tab/>
      </w:r>
      <w:r>
        <w:rPr>
          <w:rFonts w:eastAsia="Calibri" w:cs="Times New Roman"/>
          <w:b/>
          <w:bCs/>
          <w:sz w:val="22"/>
          <w:szCs w:val="22"/>
          <w:lang w:val="hr-HR"/>
        </w:rPr>
        <w:t xml:space="preserve">            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Obuća za predškolce </w:t>
        <w:tab/>
        <w:tab/>
        <w:tab/>
        <w:tab/>
        <w:tab/>
        <w:t xml:space="preserve">           550,00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Tekuće donacije                                                                    </w:t>
      </w:r>
      <w:r>
        <w:rPr>
          <w:rFonts w:eastAsia="Calibri" w:cs="Times New Roman"/>
          <w:color w:val="000000"/>
          <w:sz w:val="22"/>
          <w:szCs w:val="22"/>
          <w:lang w:val="hr-HR"/>
        </w:rPr>
        <w:t>16.500,00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Pribor, bojanke i drugo                                                           2.000,00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Troškovi sufinanciranja prehrane predškole</w:t>
        <w:tab/>
        <w:t xml:space="preserve">                     3.000.00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Ekskurzije                                                                               1.500,00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Tekuće donacije održavanje i opremanje                                4.000,00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Srednjoškolsko obrazovanje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javnog prijevoza srednjoškolskih učenika         3.300,00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 xml:space="preserve">Osnovno školstvo          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 xml:space="preserve">Tekuće donacije OŠ                                                                     1.500,00 </w:t>
      </w:r>
      <w:r>
        <w:rPr>
          <w:rFonts w:eastAsia="Calibri" w:cs="Times New Roman"/>
          <w:color w:val="000000"/>
          <w:sz w:val="22"/>
          <w:szCs w:val="24"/>
          <w:lang w:val="hr-HR"/>
        </w:rPr>
        <w:t xml:space="preserve">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Obuća za školarce</w:t>
        <w:tab/>
        <w:tab/>
        <w:tab/>
        <w:tab/>
        <w:tab/>
        <w:t xml:space="preserve">            2.300,00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ekskurzije učenicima</w:t>
        <w:tab/>
        <w:tab/>
        <w:tab/>
        <w:t xml:space="preserve">            7.000,00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škole plivanja</w:t>
        <w:tab/>
        <w:tab/>
        <w:tab/>
        <w:tab/>
        <w:t xml:space="preserve">            1.200,00 EUR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szCs w:val="22"/>
          <w:lang w:val="hr-HR"/>
        </w:rPr>
        <w:t>UKUPNO:</w:t>
        <w:tab/>
        <w:tab/>
        <w:tab/>
        <w:tab/>
        <w:tab/>
        <w:tab/>
        <w:tab/>
        <w:t xml:space="preserve">          42.850,00 EUR.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</w:t>
      </w:r>
    </w:p>
    <w:p>
      <w:pPr>
        <w:pStyle w:val="Normal"/>
        <w:widowControl w:val="false"/>
        <w:suppressAutoHyphens w:val="true"/>
        <w:bidi w:val="0"/>
        <w:spacing w:before="0" w:after="120"/>
        <w:ind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>
        <w:rPr>
          <w:rFonts w:eastAsia="Andale Sans UI" w:cs="Times New Roman"/>
          <w:kern w:val="2"/>
          <w:szCs w:val="24"/>
          <w:lang w:val="hr-HR" w:eastAsia="zh-CN"/>
        </w:rPr>
        <w:t>Provedbene odluke u cilju realizacije ovoga programa donijeti će Općinski načelnik.</w:t>
      </w:r>
    </w:p>
    <w:p>
      <w:pPr>
        <w:pStyle w:val="Normal"/>
        <w:bidi w:val="0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III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Ovaj Program stupa na snagu dan nakon dana objave u Službenom glasniku Općine Negoslavci, a primjenjuje se od 01.01.2024. godine.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PREDSJEDNIK OPĆINSKOG VIJEĆA</w:t>
      </w:r>
    </w:p>
    <w:p>
      <w:pPr>
        <w:pStyle w:val="Normal"/>
        <w:bidi w:val="0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zakon.hr/cms.htm?id=477" TargetMode="External"/><Relationship Id="rId4" Type="http://schemas.openxmlformats.org/officeDocument/2006/relationships/hyperlink" Target="https://www.zakon.hr/cms.htm?id=478" TargetMode="External"/><Relationship Id="rId5" Type="http://schemas.openxmlformats.org/officeDocument/2006/relationships/hyperlink" Target="https://www.zakon.hr/cms.htm?id=479" TargetMode="External"/><Relationship Id="rId6" Type="http://schemas.openxmlformats.org/officeDocument/2006/relationships/hyperlink" Target="https://www.zakon.hr/cms.htm?id=40813" TargetMode="External"/><Relationship Id="rId7" Type="http://schemas.openxmlformats.org/officeDocument/2006/relationships/hyperlink" Target="https://www.zakon.hr/cms.htm?id=66" TargetMode="External"/><Relationship Id="rId8" Type="http://schemas.openxmlformats.org/officeDocument/2006/relationships/hyperlink" Target="https://www.zakon.hr/cms.htm?id=67" TargetMode="External"/><Relationship Id="rId9" Type="http://schemas.openxmlformats.org/officeDocument/2006/relationships/hyperlink" Target="https://www.zakon.hr/cms.htm?id=68" TargetMode="External"/><Relationship Id="rId10" Type="http://schemas.openxmlformats.org/officeDocument/2006/relationships/hyperlink" Target="https://www.zakon.hr/cms.htm?id=69" TargetMode="External"/><Relationship Id="rId11" Type="http://schemas.openxmlformats.org/officeDocument/2006/relationships/hyperlink" Target="https://www.zakon.hr/cms.htm?id=70" TargetMode="External"/><Relationship Id="rId12" Type="http://schemas.openxmlformats.org/officeDocument/2006/relationships/hyperlink" Target="https://www.zakon.hr/cms.htm?id=71" TargetMode="External"/><Relationship Id="rId13" Type="http://schemas.openxmlformats.org/officeDocument/2006/relationships/hyperlink" Target="https://www.zakon.hr/cms.htm?id=72" TargetMode="External"/><Relationship Id="rId14" Type="http://schemas.openxmlformats.org/officeDocument/2006/relationships/hyperlink" Target="https://www.zakon.hr/cms.htm?id=73" TargetMode="External"/><Relationship Id="rId15" Type="http://schemas.openxmlformats.org/officeDocument/2006/relationships/hyperlink" Target="https://www.zakon.hr/cms.htm?id=182" TargetMode="External"/><Relationship Id="rId16" Type="http://schemas.openxmlformats.org/officeDocument/2006/relationships/hyperlink" Target="https://www.zakon.hr/cms.htm?id=480" TargetMode="External"/><Relationship Id="rId17" Type="http://schemas.openxmlformats.org/officeDocument/2006/relationships/hyperlink" Target="https://www.zakon.hr/cms.htm?id=1671" TargetMode="External"/><Relationship Id="rId18" Type="http://schemas.openxmlformats.org/officeDocument/2006/relationships/hyperlink" Target="https://www.zakon.hr/cms.htm?id=17751" TargetMode="External"/><Relationship Id="rId19" Type="http://schemas.openxmlformats.org/officeDocument/2006/relationships/hyperlink" Target="https://www.zakon.hr/cms.htm?id=31279" TargetMode="External"/><Relationship Id="rId20" Type="http://schemas.openxmlformats.org/officeDocument/2006/relationships/hyperlink" Target="https://www.zakon.hr/cms.htm?id=40815" TargetMode="External"/><Relationship Id="rId21" Type="http://schemas.openxmlformats.org/officeDocument/2006/relationships/hyperlink" Target="https://www.zakon.hr/cms.htm?id=44620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</TotalTime>
  <Application>LibreOffice/7.4.1.2$Windows_X86_64 LibreOffice_project/3c58a8f3a960df8bc8fd77b461821e42c061c5f0</Application>
  <AppVersion>15.0000</AppVersion>
  <Pages>1</Pages>
  <Words>249</Words>
  <Characters>1517</Characters>
  <CharactersWithSpaces>2237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2023-12-29T09:40:29Z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