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</w:t>
      </w:r>
      <w:r>
        <w:rPr>
          <w:rFonts w:eastAsia="Calibri" w:cs="Times New Roman"/>
          <w:b/>
          <w:color w:val="000000"/>
          <w:szCs w:val="24"/>
          <w:lang w:val="hr-HR"/>
        </w:rPr>
        <w:t>:</w:t>
      </w:r>
      <w:r>
        <w:rPr>
          <w:rFonts w:eastAsia="Calibri" w:cs="Times New Roman"/>
          <w:color w:val="000000"/>
          <w:szCs w:val="24"/>
          <w:lang w:val="hr-HR"/>
        </w:rPr>
        <w:t xml:space="preserve"> 400-0</w:t>
      </w:r>
      <w:r>
        <w:rPr>
          <w:rFonts w:eastAsia="Calibri" w:cs="Times New Roman"/>
          <w:color w:val="000000"/>
        </w:rPr>
        <w:t>2/23-01/01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2196-19-02-23-</w:t>
      </w:r>
      <w:r>
        <w:rPr>
          <w:rFonts w:eastAsia="Calibri" w:cs="Times New Roman"/>
          <w:color w:val="000000"/>
          <w:szCs w:val="24"/>
          <w:lang w:val="hr-HR"/>
        </w:rPr>
        <w:t>2</w:t>
      </w:r>
      <w:r>
        <w:rPr>
          <w:rFonts w:eastAsia="Calibri" w:cs="Times New Roman"/>
          <w:color w:val="000000"/>
          <w:szCs w:val="24"/>
          <w:lang w:val="hr-HR"/>
        </w:rPr>
        <w:t>0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Negoslavci,</w:t>
      </w:r>
      <w:r>
        <w:rPr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ind w:firstLine="720"/>
        <w:jc w:val="both"/>
        <w:rPr>
          <w:lang w:val="hr-HR"/>
        </w:rPr>
      </w:pPr>
      <w:r>
        <w:rPr>
          <w:lang w:val="hr-HR"/>
        </w:rPr>
        <w:t xml:space="preserve">Na temelju članka 31., stavka 3. Zakona o postupanju s nezakonito izgrađenim zgradama („Narodne novine“ broj 86/12, 143/13, 65/17 i 14/19) i članka 19., stavka 1., točke 2. Statuta Općine Negoslavci („Službeni glasnik Općine Negoslavci” broj 1/21 i 7/23), Općinsko vijeće </w:t>
      </w:r>
      <w:r>
        <w:rPr>
          <w:lang w:val="hr-HR"/>
        </w:rPr>
        <w:t>Općine Negoslavci na svojoj redovnoj sjednici</w:t>
      </w:r>
      <w:r>
        <w:rPr>
          <w:lang w:val="hr-HR"/>
        </w:rPr>
        <w:t xml:space="preserve"> dana 28.12.2023. godine donosi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Program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2024. godinu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Ovim se Program utvrđuje namjensko korištenje dijela od 30% sredstava naknade za zadržavanje nezakonito izgrađene zgrade u prostoru, a koji su prihod jedinice lokalne samouprave na čijem se području nezakonito izgrađena zgrada nalazi, sukladno članku 31., stavku 3. Zakona o postupanju s nezakonito izgrađenim zgradama („Narodne novine“ broj 86/12, 143/13, 65/17 i 14/19).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Iznos dijela iz članka 1. ovog Programa se planira u iznosu od 150,00 EUR.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Planirani iznos sredstava naknade iz prethodnog članka će se koristiti (pored ostalih sredstava u tu svrhu) za izvršenje projekt</w:t>
      </w:r>
      <w:r>
        <w:rPr>
          <w:color w:val="000000"/>
          <w:lang w:val="hr-HR"/>
        </w:rPr>
        <w:t>a: „Uređenje centra – faza II PPNM“ (k.č. 1942/2, k.o. Negoslavci), u cjelokupnom iznosu od 150,00 EUR.</w:t>
      </w:r>
    </w:p>
    <w:p>
      <w:pPr>
        <w:pStyle w:val="Normal"/>
        <w:bidi w:val="0"/>
        <w:jc w:val="both"/>
        <w:rPr>
          <w:color w:val="000000"/>
          <w:lang w:val="hr-HR"/>
        </w:rPr>
      </w:pPr>
      <w:r>
        <w:rPr>
          <w:color w:val="000000"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>
        <w:rPr>
          <w:rFonts w:eastAsia="Calibri" w:cs="Times New Roman"/>
          <w:szCs w:val="24"/>
          <w:lang w:val="hr-HR"/>
        </w:rPr>
        <w:t>Ovaj Program stupa na snagu dan nakon dana objave u Službenom glasniku Općine Negoslavci, a primjenjuje se od 01.01.2024. godine.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PREDSJEDNIK OPĆINSKOG VIJEĆA</w:t>
      </w:r>
    </w:p>
    <w:p>
      <w:pPr>
        <w:pStyle w:val="Normal"/>
        <w:bidi w:val="0"/>
        <w:jc w:val="right"/>
        <w:rPr>
          <w:lang w:val="hr-HR"/>
        </w:rPr>
      </w:pPr>
      <w:bookmarkStart w:id="0" w:name="_GoBack"/>
      <w:bookmarkEnd w:id="0"/>
      <w:r>
        <w:rPr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LibreOffice/7.4.1.2$Windows_X86_64 LibreOffice_project/3c58a8f3a960df8bc8fd77b461821e42c061c5f0</Application>
  <AppVersion>15.0000</AppVersion>
  <Pages>1</Pages>
  <Words>214</Words>
  <Characters>1300</Characters>
  <CharactersWithSpaces>1501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2023-12-29T09:41:35Z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