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</w:t>
      </w:r>
      <w:r>
        <w:rPr>
          <w:rFonts w:eastAsia="Calibri" w:cs="Times New Roman"/>
          <w:b/>
          <w:color w:val="000000"/>
          <w:szCs w:val="24"/>
          <w:lang w:val="hr-HR"/>
        </w:rPr>
        <w:t>SA:</w:t>
      </w:r>
      <w:r>
        <w:rPr>
          <w:rFonts w:eastAsia="Calibri" w:cs="Times New Roman"/>
          <w:color w:val="000000"/>
          <w:szCs w:val="24"/>
          <w:lang w:val="hr-HR"/>
        </w:rPr>
        <w:t xml:space="preserve"> 400-01/23-01/01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2196-19-02-23-16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3">
        <w:r>
          <w:rPr>
            <w:rFonts w:eastAsia="Calibri" w:cs="Times New Roman"/>
            <w:szCs w:val="24"/>
            <w:lang w:val="hr-HR"/>
          </w:rPr>
          <w:t>10/97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4">
        <w:r>
          <w:rPr>
            <w:rFonts w:eastAsia="Calibri" w:cs="Times New Roman"/>
            <w:szCs w:val="24"/>
            <w:lang w:val="hr-HR"/>
          </w:rPr>
          <w:t>107/07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5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6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 i 57/22 i 101/23), u svezi sa člankom 143. Zakona o odgoju i obrazovanju u osnovnoj i srednjoj školi („Narodne novine“ broj </w:t>
      </w:r>
      <w:hyperlink r:id="rId7">
        <w:r>
          <w:rPr>
            <w:rFonts w:eastAsia="Calibri" w:cs="Times New Roman"/>
            <w:szCs w:val="24"/>
            <w:lang w:val="hr-HR"/>
          </w:rPr>
          <w:t>87/08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8">
        <w:r>
          <w:rPr>
            <w:rFonts w:eastAsia="Calibri" w:cs="Times New Roman"/>
            <w:szCs w:val="24"/>
            <w:lang w:val="hr-HR"/>
          </w:rPr>
          <w:t>86/09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9">
        <w:r>
          <w:rPr>
            <w:rFonts w:eastAsia="Calibri" w:cs="Times New Roman"/>
            <w:szCs w:val="24"/>
            <w:lang w:val="hr-HR"/>
          </w:rPr>
          <w:t>92/10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0">
        <w:r>
          <w:rPr>
            <w:rFonts w:eastAsia="Calibri" w:cs="Times New Roman"/>
            <w:szCs w:val="24"/>
            <w:lang w:val="hr-HR"/>
          </w:rPr>
          <w:t>105/10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1">
        <w:r>
          <w:rPr>
            <w:rFonts w:eastAsia="Calibri" w:cs="Times New Roman"/>
            <w:szCs w:val="24"/>
            <w:lang w:val="hr-HR"/>
          </w:rPr>
          <w:t>90/11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2">
        <w:r>
          <w:rPr>
            <w:rFonts w:eastAsia="Calibri" w:cs="Times New Roman"/>
            <w:szCs w:val="24"/>
            <w:lang w:val="hr-HR"/>
          </w:rPr>
          <w:t>5/12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3">
        <w:r>
          <w:rPr>
            <w:rFonts w:eastAsia="Calibri" w:cs="Times New Roman"/>
            <w:szCs w:val="24"/>
            <w:lang w:val="hr-HR"/>
          </w:rPr>
          <w:t>16/12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4">
        <w:r>
          <w:rPr>
            <w:rFonts w:eastAsia="Calibri" w:cs="Times New Roman"/>
            <w:szCs w:val="24"/>
            <w:lang w:val="hr-HR"/>
          </w:rPr>
          <w:t>86/12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5">
        <w:r>
          <w:rPr>
            <w:rFonts w:eastAsia="Calibri" w:cs="Times New Roman"/>
            <w:szCs w:val="24"/>
            <w:lang w:val="hr-HR"/>
          </w:rPr>
          <w:t>126/12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6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7">
        <w:r>
          <w:rPr>
            <w:rFonts w:eastAsia="Calibri" w:cs="Times New Roman"/>
            <w:szCs w:val="24"/>
            <w:lang w:val="hr-HR"/>
          </w:rPr>
          <w:t>152/14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8">
        <w:r>
          <w:rPr>
            <w:rFonts w:eastAsia="Calibri" w:cs="Times New Roman"/>
            <w:szCs w:val="24"/>
            <w:lang w:val="hr-HR"/>
          </w:rPr>
          <w:t>07/17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9" w:tgtFrame="_blank">
        <w:r>
          <w:rPr>
            <w:rFonts w:eastAsia="Calibri" w:cs="Times New Roman"/>
            <w:szCs w:val="24"/>
            <w:lang w:val="hr-HR"/>
          </w:rPr>
          <w:t>68/18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0" w:tgtFrame="_blank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1">
        <w:r>
          <w:rPr>
            <w:rFonts w:eastAsia="Calibri" w:cs="Times New Roman"/>
            <w:szCs w:val="24"/>
            <w:lang w:val="hr-HR"/>
          </w:rPr>
          <w:t>64/20</w:t>
        </w:r>
      </w:hyperlink>
      <w:r>
        <w:rPr>
          <w:rFonts w:eastAsia="Calibri" w:cs="Times New Roman"/>
          <w:szCs w:val="24"/>
          <w:lang w:val="hr-HR"/>
        </w:rPr>
        <w:t xml:space="preserve">, 151/22 i 156/23) i na temelju članka </w:t>
      </w:r>
      <w:r>
        <w:rPr>
          <w:lang w:val="hr-HR"/>
        </w:rPr>
        <w:t>19., stavka 1., točke 2. Statuta Općine Negoslavci („Službeni glasnik Općine Negoslavci” broj 1/21 i 7/23)</w:t>
      </w:r>
      <w:r>
        <w:rPr>
          <w:rFonts w:eastAsia="Calibri" w:cs="Times New Roman"/>
          <w:szCs w:val="24"/>
          <w:lang w:val="hr-HR"/>
        </w:rPr>
        <w:t>,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Izmjene i dopune </w:t>
      </w:r>
      <w:bookmarkStart w:id="0" w:name="_GoBack"/>
      <w:bookmarkStart w:id="1" w:name="_Toc62727858"/>
      <w:r>
        <w:rPr>
          <w:rFonts w:eastAsia="Calibri" w:cs="Times New Roman"/>
          <w:b/>
          <w:szCs w:val="24"/>
          <w:lang w:val="hr-HR"/>
        </w:rPr>
        <w:t>Programa javnih potreba u obrazovanju Općine Negoslavci za 2023. godinu</w:t>
      </w:r>
      <w:bookmarkEnd w:id="0"/>
      <w:bookmarkEnd w:id="1"/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 w:val="false"/>
          <w:bCs w:val="false"/>
          <w:szCs w:val="24"/>
          <w:lang w:val="hr-HR"/>
        </w:rPr>
        <w:t xml:space="preserve">U Programu javnih potreba u obrazovanju Općine Negoslavci za 2023. godinu („Službeni glasnik Općine Negoslavci” broj 8/22) (u daljem tekstu: Program), točka I. mijenja se i glasi: </w:t>
      </w:r>
      <w:r>
        <w:rPr>
          <w:rFonts w:eastAsia="Calibri" w:cs="Times New Roman"/>
          <w:b/>
          <w:szCs w:val="24"/>
          <w:lang w:val="hr-HR"/>
        </w:rPr>
        <w:t xml:space="preserve">  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„</w:t>
      </w:r>
      <w:r>
        <w:rPr>
          <w:rFonts w:eastAsia="Calibri" w:cs="Times New Roman"/>
          <w:szCs w:val="24"/>
          <w:lang w:val="hr-HR"/>
        </w:rPr>
        <w:t>Za ostvarenje Programa javnih potreba u obrazovanju općine Negoslavci za 2023. godinu planira se (po tečaju konverzije 1 EUR=7,53450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Predškolsko obrazovanje</w:t>
        <w:tab/>
      </w:r>
      <w:r>
        <w:rPr>
          <w:rFonts w:eastAsia="Calibri" w:cs="Times New Roman"/>
          <w:b/>
          <w:bCs/>
          <w:sz w:val="22"/>
          <w:szCs w:val="22"/>
          <w:lang w:val="hr-HR"/>
        </w:rPr>
        <w:t xml:space="preserve">            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Obuća za predškolce </w:t>
        <w:tab/>
        <w:tab/>
        <w:tab/>
        <w:tab/>
        <w:tab/>
        <w:t xml:space="preserve">                                                 0,00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                                                                    1</w:t>
      </w:r>
      <w:r>
        <w:rPr>
          <w:rFonts w:eastAsia="Calibri" w:cs="Times New Roman"/>
          <w:color w:val="000000"/>
          <w:sz w:val="22"/>
          <w:szCs w:val="22"/>
          <w:lang w:val="hr-HR"/>
        </w:rPr>
        <w:t>17.000,00 KN</w:t>
      </w:r>
      <w:r>
        <w:rPr>
          <w:rFonts w:eastAsia="Calibri" w:cs="Times New Roman"/>
          <w:b/>
          <w:bCs/>
          <w:color w:val="000000"/>
          <w:sz w:val="22"/>
          <w:szCs w:val="22"/>
          <w:lang w:val="hr-HR"/>
        </w:rPr>
        <w:t>/</w:t>
      </w:r>
      <w:r>
        <w:rPr>
          <w:rFonts w:eastAsia="Calibri" w:cs="Times New Roman"/>
          <w:color w:val="000000"/>
          <w:sz w:val="22"/>
          <w:szCs w:val="22"/>
          <w:lang w:val="hr-HR"/>
        </w:rPr>
        <w:t>15.528.57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Troškovi sufinanciranje prehrane predškole</w:t>
        <w:tab/>
        <w:t xml:space="preserve">                      27.534,53 KN/3.654.46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Srednjoškolsko obrazovanje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javnog prijevoza srednjoškolskih učenika           25.000,00 KN/3.318,07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Osnovno školstvo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Obuća za školarce</w:t>
        <w:tab/>
        <w:tab/>
        <w:tab/>
        <w:tab/>
        <w:tab/>
        <w:t xml:space="preserve">           20.753,48 KN/2.754,46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pomoći OŠ                                                                       10.000,00 KN/1.327,23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ekskurzije učenicima</w:t>
        <w:tab/>
        <w:tab/>
        <w:tab/>
        <w:t xml:space="preserve">           51.301,73 KN/6.808,91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Radne bilježnice za učenike</w:t>
        <w:tab/>
        <w:tab/>
        <w:tab/>
        <w:tab/>
        <w:t xml:space="preserve">                1.437,88 KN/190,84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Prehrana učenika</w:t>
        <w:tab/>
        <w:tab/>
        <w:tab/>
        <w:tab/>
        <w:tab/>
        <w:t xml:space="preserve">                7.396,47 KN/981,68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škole plivanja</w:t>
        <w:tab/>
        <w:tab/>
        <w:tab/>
        <w:tab/>
        <w:tab/>
        <w:t xml:space="preserve">              0,00 KN/0,00 EUR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>UKUPNO:</w:t>
        <w:tab/>
        <w:tab/>
        <w:tab/>
        <w:tab/>
        <w:tab/>
        <w:tab/>
        <w:tab/>
        <w:t xml:space="preserve">   260.424,12 KN/ 3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4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.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564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,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22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 xml:space="preserve"> EUR”.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ab/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kern w:val="2"/>
          <w:sz w:val="22"/>
          <w:szCs w:val="22"/>
          <w:lang w:val="en-AU" w:eastAsia="hr-HR"/>
        </w:rPr>
        <w:tab/>
        <w:t>Izmjene i dopune Programa</w:t>
      </w:r>
      <w:r>
        <w:rPr>
          <w:rFonts w:eastAsia="Calibri" w:cs="Times New Roman"/>
          <w:b/>
          <w:bCs w:val="false"/>
          <w:i w:val="false"/>
          <w:iCs w:val="false"/>
          <w:color w:val="000000" w:themeColor="text1"/>
          <w:kern w:val="2"/>
          <w:sz w:val="22"/>
          <w:szCs w:val="24"/>
          <w:lang w:val="hr-HR" w:eastAsia="hr-HR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kern w:val="2"/>
          <w:sz w:val="22"/>
          <w:szCs w:val="24"/>
          <w:lang w:val="hr-HR" w:eastAsia="hr-HR"/>
        </w:rPr>
        <w:t>javnih potreba u obrazovanju Općine Negoslavci za 2023. godinu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kern w:val="2"/>
          <w:sz w:val="22"/>
          <w:szCs w:val="22"/>
          <w:lang w:val="en-AU" w:eastAsia="hr-HR"/>
        </w:rPr>
        <w:t xml:space="preserve">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/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sectPr>
      <w:footerReference w:type="default" r:id="rId2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zakon.hr/cms.htm?id=477" TargetMode="External"/><Relationship Id="rId4" Type="http://schemas.openxmlformats.org/officeDocument/2006/relationships/hyperlink" Target="https://www.zakon.hr/cms.htm?id=478" TargetMode="External"/><Relationship Id="rId5" Type="http://schemas.openxmlformats.org/officeDocument/2006/relationships/hyperlink" Target="https://www.zakon.hr/cms.htm?id=479" TargetMode="External"/><Relationship Id="rId6" Type="http://schemas.openxmlformats.org/officeDocument/2006/relationships/hyperlink" Target="https://www.zakon.hr/cms.htm?id=40813" TargetMode="External"/><Relationship Id="rId7" Type="http://schemas.openxmlformats.org/officeDocument/2006/relationships/hyperlink" Target="https://www.zakon.hr/cms.htm?id=66" TargetMode="External"/><Relationship Id="rId8" Type="http://schemas.openxmlformats.org/officeDocument/2006/relationships/hyperlink" Target="https://www.zakon.hr/cms.htm?id=67" TargetMode="External"/><Relationship Id="rId9" Type="http://schemas.openxmlformats.org/officeDocument/2006/relationships/hyperlink" Target="https://www.zakon.hr/cms.htm?id=68" TargetMode="External"/><Relationship Id="rId10" Type="http://schemas.openxmlformats.org/officeDocument/2006/relationships/hyperlink" Target="https://www.zakon.hr/cms.htm?id=69" TargetMode="External"/><Relationship Id="rId11" Type="http://schemas.openxmlformats.org/officeDocument/2006/relationships/hyperlink" Target="https://www.zakon.hr/cms.htm?id=70" TargetMode="External"/><Relationship Id="rId12" Type="http://schemas.openxmlformats.org/officeDocument/2006/relationships/hyperlink" Target="https://www.zakon.hr/cms.htm?id=71" TargetMode="External"/><Relationship Id="rId13" Type="http://schemas.openxmlformats.org/officeDocument/2006/relationships/hyperlink" Target="https://www.zakon.hr/cms.htm?id=72" TargetMode="External"/><Relationship Id="rId14" Type="http://schemas.openxmlformats.org/officeDocument/2006/relationships/hyperlink" Target="https://www.zakon.hr/cms.htm?id=73" TargetMode="External"/><Relationship Id="rId15" Type="http://schemas.openxmlformats.org/officeDocument/2006/relationships/hyperlink" Target="https://www.zakon.hr/cms.htm?id=182" TargetMode="External"/><Relationship Id="rId16" Type="http://schemas.openxmlformats.org/officeDocument/2006/relationships/hyperlink" Target="https://www.zakon.hr/cms.htm?id=480" TargetMode="External"/><Relationship Id="rId17" Type="http://schemas.openxmlformats.org/officeDocument/2006/relationships/hyperlink" Target="https://www.zakon.hr/cms.htm?id=1671" TargetMode="External"/><Relationship Id="rId18" Type="http://schemas.openxmlformats.org/officeDocument/2006/relationships/hyperlink" Target="https://www.zakon.hr/cms.htm?id=17751" TargetMode="External"/><Relationship Id="rId19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www.zakon.hr/cms.htm?id=40815" TargetMode="External"/><Relationship Id="rId21" Type="http://schemas.openxmlformats.org/officeDocument/2006/relationships/hyperlink" Target="https://www.zakon.hr/cms.htm?id=44620" TargetMode="Externa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LibreOffice/7.4.1.2$Windows_X86_64 LibreOffice_project/3c58a8f3a960df8bc8fd77b461821e42c061c5f0</Application>
  <AppVersion>15.0000</AppVersion>
  <Pages>1</Pages>
  <Words>294</Words>
  <Characters>1805</Characters>
  <CharactersWithSpaces>2484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2024-01-16T08:54:56Z</dcterms:created>
  <dc:creator/>
  <dc:description/>
  <dc:language>hr-HR</dc:language>
  <cp:lastModifiedBy/>
  <dcterms:modified xsi:type="dcterms:W3CDTF">2024-01-16T12:29:30Z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