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cs="Calibri"/>
        </w:rPr>
      </w:pPr>
      <w:r>
        <w:rPr>
          <w:rFonts w:cs="Calibri"/>
        </w:rPr>
      </w:r>
    </w:p>
    <w:p>
      <w:pPr>
        <w:pStyle w:val="NoSpacing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left="1560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eastAsia="hr-HR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514350</wp:posOffset>
            </wp:positionH>
            <wp:positionV relativeFrom="paragraph">
              <wp:posOffset>47625</wp:posOffset>
            </wp:positionV>
            <wp:extent cx="476250" cy="600075"/>
            <wp:effectExtent l="0" t="0" r="0" b="0"/>
            <wp:wrapTight wrapText="bothSides">
              <wp:wrapPolygon edited="0">
                <wp:start x="-872" y="0"/>
                <wp:lineTo x="-872" y="19823"/>
                <wp:lineTo x="20278" y="19823"/>
                <wp:lineTo x="20278" y="0"/>
                <wp:lineTo x="-872" y="0"/>
              </wp:wrapPolygon>
            </wp:wrapTight>
            <wp:docPr id="1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9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hr-HR"/>
        </w:rPr>
        <w:tab/>
        <w:tab/>
        <w:tab/>
        <w:tab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REPUBLIKA HRVATSKA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VUKOVARSKO SRIJEMSKA ŽUPANIJA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color w:val="222222"/>
          <w:sz w:val="24"/>
          <w:szCs w:val="24"/>
        </w:rPr>
        <w:t>OPĆINA NEGOSLAVCI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color w:val="222222"/>
          <w:sz w:val="24"/>
          <w:szCs w:val="24"/>
        </w:rPr>
        <w:t>OPĆINSKO VIJEĆE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363-01/23-01/03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 2196-19-03-02-24-</w:t>
      </w:r>
      <w:r>
        <w:rPr>
          <w:rFonts w:cs="Times New Roman" w:ascii="Times New Roman" w:hAnsi="Times New Roman"/>
          <w:color w:val="000000"/>
          <w:sz w:val="24"/>
          <w:szCs w:val="24"/>
        </w:rPr>
        <w:t>08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Negoslavci, 22.02.2024. godine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članka 36. i 37. Zakona o koncesijama („Narodne novine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“, </w:t>
      </w:r>
      <w:r>
        <w:rPr>
          <w:rFonts w:cs="Times New Roman" w:ascii="Times New Roman" w:hAnsi="Times New Roman"/>
          <w:sz w:val="24"/>
          <w:szCs w:val="24"/>
        </w:rPr>
        <w:t xml:space="preserve">broj 69/17. i 107/20.)  i članka 19. Statuta Općine Negoslavci („Službeni glasnik Općine Negoslavci”, broj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1/21 i 7/23</w:t>
      </w:r>
      <w:r>
        <w:rPr>
          <w:rFonts w:cs="Times New Roman" w:ascii="Times New Roman" w:hAnsi="Times New Roman"/>
          <w:sz w:val="24"/>
          <w:szCs w:val="24"/>
        </w:rPr>
        <w:t xml:space="preserve">), Općinsko vijeće Općine Negoslavci na svojoj sjednici održanoj dana 22.02.2024. godine donosi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ijeloteksta"/>
        <w:spacing w:before="0" w:after="0"/>
        <w:jc w:val="center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O D L U K U</w:t>
      </w:r>
      <w:r>
        <w:rPr>
          <w:rFonts w:ascii="Times New Roman" w:hAnsi="Times New Roman"/>
          <w:b/>
          <w:bCs/>
        </w:rPr>
        <w:br/>
        <w:t xml:space="preserve">o davanju </w:t>
      </w:r>
      <w:r>
        <w:rPr>
          <w:rFonts w:ascii="Times New Roman" w:hAnsi="Times New Roman"/>
          <w:b/>
          <w:bCs/>
          <w:szCs w:val="22"/>
        </w:rPr>
        <w:t xml:space="preserve">koncesije za </w:t>
      </w:r>
      <w:r>
        <w:rPr>
          <w:rStyle w:val="Internetskapoveznica"/>
          <w:rFonts w:ascii="Times New Roman" w:hAnsi="Times New Roman"/>
          <w:b/>
          <w:color w:val="auto"/>
          <w:sz w:val="22"/>
          <w:szCs w:val="22"/>
          <w:u w:val="none"/>
        </w:rPr>
        <w:t xml:space="preserve">obavljanje </w:t>
      </w:r>
      <w:r>
        <w:rPr>
          <w:rFonts w:ascii="Times New Roman" w:hAnsi="Times New Roman"/>
          <w:b/>
          <w:szCs w:val="22"/>
        </w:rPr>
        <w:t xml:space="preserve">javne usluge sakupljanja komunalnog otpada </w:t>
      </w:r>
    </w:p>
    <w:p>
      <w:pPr>
        <w:pStyle w:val="Tijeloteksta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szCs w:val="22"/>
        </w:rPr>
        <w:t>na području Općine Negoslavci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Tijeloteksta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evidencijski broj: K-02/2023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</w:rPr>
      </w:pPr>
      <w:r>
        <w:rPr>
          <w:rFonts w:cs="Calibri"/>
          <w:b/>
        </w:rPr>
        <w:t>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Podaci o Davatelju koncesije: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>OPĆINA</w:t>
      </w:r>
      <w:r>
        <w:rPr>
          <w:rFonts w:eastAsia="Calibri" w:cs="Times New Roman" w:ascii="Times New Roman" w:hAnsi="Times New Roman"/>
          <w:spacing w:val="-27"/>
        </w:rPr>
        <w:t xml:space="preserve"> </w:t>
      </w:r>
      <w:r>
        <w:rPr>
          <w:rFonts w:eastAsia="Calibri" w:cs="Times New Roman" w:ascii="Times New Roman" w:hAnsi="Times New Roman"/>
        </w:rPr>
        <w:t xml:space="preserve">NEGOSLAVCI, </w:t>
      </w:r>
      <w:r>
        <w:rPr>
          <w:rFonts w:cs="Times New Roman" w:ascii="Times New Roman" w:hAnsi="Times New Roman"/>
        </w:rPr>
        <w:t>Vukovarska 7, Negoslavci</w:t>
      </w:r>
      <w:r>
        <w:rPr>
          <w:rFonts w:eastAsia="Calibri" w:cs="Times New Roman" w:ascii="Times New Roman" w:hAnsi="Times New Roman"/>
        </w:rPr>
        <w:t>, OIB:</w:t>
      </w:r>
      <w:r>
        <w:rPr>
          <w:rFonts w:cs="Times New Roman" w:ascii="Times New Roman" w:hAnsi="Times New Roman"/>
          <w:color w:val="222222"/>
        </w:rPr>
        <w:t xml:space="preserve"> 22641575931</w:t>
      </w:r>
      <w:r>
        <w:rPr>
          <w:rFonts w:eastAsia="Calibri" w:cs="Times New Roman" w:ascii="Times New Roman" w:hAnsi="Times New Roman"/>
        </w:rPr>
        <w:t>.</w:t>
      </w:r>
    </w:p>
    <w:p>
      <w:pPr>
        <w:pStyle w:val="Tijeloteksta"/>
        <w:spacing w:before="24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provedenog postupka davanja koncesije</w:t>
      </w:r>
      <w:r>
        <w:rPr>
          <w:rFonts w:ascii="Times New Roman" w:hAnsi="Times New Roman"/>
          <w:bCs/>
        </w:rPr>
        <w:t xml:space="preserve"> za o</w:t>
      </w:r>
      <w:r>
        <w:rPr>
          <w:rStyle w:val="Internetskapoveznica"/>
          <w:rFonts w:ascii="Times New Roman" w:hAnsi="Times New Roman"/>
          <w:color w:val="auto"/>
          <w:sz w:val="22"/>
          <w:u w:val="none"/>
        </w:rPr>
        <w:t xml:space="preserve">bavljanje </w:t>
      </w:r>
      <w:r>
        <w:rPr>
          <w:rFonts w:ascii="Times New Roman" w:hAnsi="Times New Roman"/>
          <w:szCs w:val="22"/>
        </w:rPr>
        <w:t xml:space="preserve">javne usluge sakupljanja komunalnog otpada na području Općine Negoslavci </w:t>
      </w:r>
      <w:r>
        <w:rPr>
          <w:rFonts w:ascii="Times New Roman" w:hAnsi="Times New Roman"/>
        </w:rPr>
        <w:t>i prijedloga Stručnog povjerenstva za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koncesije, kao najpovoljniji ponuditelj odabire se:</w:t>
      </w:r>
    </w:p>
    <w:p>
      <w:pPr>
        <w:pStyle w:val="Tijeloteksta"/>
        <w:numPr>
          <w:ilvl w:val="0"/>
          <w:numId w:val="3"/>
        </w:numPr>
        <w:spacing w:before="24" w:after="240"/>
        <w:jc w:val="both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</w:rPr>
        <w:t xml:space="preserve">KOMUNALAC d.o.o., Sajmište 174, Vukovar, OIB: 83101904488.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eastAsia="hr-HR"/>
        </w:rPr>
      </w:pPr>
      <w:r>
        <w:rPr>
          <w:rFonts w:cs="Times New Roman" w:ascii="Times New Roman" w:hAnsi="Times New Roman"/>
        </w:rPr>
        <w:t xml:space="preserve">Vrsta i predmet koncesije je koncesija </w:t>
      </w:r>
      <w:r>
        <w:rPr>
          <w:rFonts w:cs="Times New Roman" w:ascii="Times New Roman" w:hAnsi="Times New Roman"/>
          <w:bCs/>
        </w:rPr>
        <w:t>za o</w:t>
      </w:r>
      <w:r>
        <w:rPr>
          <w:rStyle w:val="Internetskapoveznica"/>
          <w:rFonts w:cs="Times New Roman" w:ascii="Times New Roman" w:hAnsi="Times New Roman"/>
          <w:color w:val="auto"/>
          <w:sz w:val="22"/>
          <w:u w:val="none"/>
        </w:rPr>
        <w:t xml:space="preserve">bavljanje javne usluge </w:t>
      </w:r>
      <w:r>
        <w:rPr>
          <w:rFonts w:cs="Times New Roman" w:ascii="Times New Roman" w:hAnsi="Times New Roman"/>
        </w:rPr>
        <w:t>sakupljanja komunalnog otpada na području Općine Negoslavci. Koncesija se daje na rok od 5 godina.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Priroda i opseg te mjesto, odnosno područje obavljanja djelatnosti koncesije utvrđuje se kako slijedi:</w:t>
      </w:r>
    </w:p>
    <w:p>
      <w:pPr>
        <w:pStyle w:val="Tijeloteksta"/>
        <w:numPr>
          <w:ilvl w:val="0"/>
          <w:numId w:val="2"/>
        </w:numPr>
        <w:spacing w:before="0" w:after="0"/>
        <w:ind w:left="426" w:right="115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Područje pružanja javne usluge obuhvaća administrativno područje </w:t>
      </w:r>
      <w:r>
        <w:rPr>
          <w:rFonts w:ascii="Times New Roman" w:hAnsi="Times New Roman"/>
        </w:rPr>
        <w:t>Općine Negoslavci</w:t>
      </w:r>
      <w:r>
        <w:rPr>
          <w:rFonts w:ascii="Times New Roman" w:hAnsi="Times New Roman"/>
          <w:szCs w:val="22"/>
        </w:rPr>
        <w:t xml:space="preserve">. </w:t>
      </w:r>
    </w:p>
    <w:p>
      <w:pPr>
        <w:pStyle w:val="Tijeloteksta"/>
        <w:numPr>
          <w:ilvl w:val="0"/>
          <w:numId w:val="2"/>
        </w:numPr>
        <w:spacing w:before="0" w:after="0"/>
        <w:ind w:left="426" w:right="115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Prikupljanje komunalnog otpada (u daljnjem tekstu: javna usluga) obavlja se u okviru sustava sakupljanja komunalnog otpada sukladno propisanim standardima Zakona o gospodarenju otpadom (u daljnjem tekstu: Zakon) i </w:t>
      </w:r>
      <w:r>
        <w:rPr>
          <w:rFonts w:ascii="Times New Roman" w:hAnsi="Times New Roman"/>
        </w:rPr>
        <w:t>važećom Odlukom o načinu pružanja javne usluge</w:t>
      </w:r>
      <w:r>
        <w:rPr>
          <w:rFonts w:ascii="Times New Roman" w:hAnsi="Times New Roman"/>
          <w:bCs/>
        </w:rPr>
        <w:t xml:space="preserve"> sakupljanja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komunalnog otpada na području </w:t>
      </w:r>
      <w:r>
        <w:rPr>
          <w:rFonts w:ascii="Times New Roman" w:hAnsi="Times New Roman"/>
        </w:rPr>
        <w:t xml:space="preserve">Općine Negoslavci, </w:t>
      </w:r>
      <w:r>
        <w:rPr>
          <w:rFonts w:ascii="Times New Roman" w:hAnsi="Times New Roman"/>
          <w:szCs w:val="22"/>
        </w:rPr>
        <w:t xml:space="preserve">te podrazumijeva </w:t>
      </w:r>
      <w:r>
        <w:rPr>
          <w:rFonts w:ascii="Times New Roman" w:hAnsi="Times New Roman"/>
        </w:rPr>
        <w:t>odvojeno prikupljanje komunalnog otpada na području pružanja javne usluge (Općina Negoslavci) putem spremnika od pojedinog korisnika, i to na mjestu primopredaje te prijevoz i predaja tog otpada osobi ovlaštenoj za obradu takvog otpada</w:t>
      </w:r>
      <w:r>
        <w:rPr>
          <w:rFonts w:ascii="Times New Roman" w:hAnsi="Times New Roman"/>
          <w:szCs w:val="22"/>
        </w:rPr>
        <w:t>.</w:t>
      </w:r>
    </w:p>
    <w:p>
      <w:pPr>
        <w:pStyle w:val="Tijeloteksta"/>
        <w:numPr>
          <w:ilvl w:val="0"/>
          <w:numId w:val="2"/>
        </w:numPr>
        <w:spacing w:before="0" w:after="0"/>
        <w:ind w:left="426" w:right="115" w:hanging="42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Komunalni otpad je miješani komunalni otpad i odvojeno sakupljeni otpad iz kućanstava, uključujući papir i karton, staklo, metal, plastiku, biootpad, drvo, tekstil, ambalažu, otpadnu električnu i elektroničku opremu, otpadne baterije i akumulatore te glomazni otpad, uključujući madrace i namještaj te miješani komunalni otpad i odvojeno sakupljeni otpad iz drugih izvora, ako je taj otpad sličan po prirodi i sastavu otpadu iz kućanstva, ali ne uključuje otpad iz proizvodnje, poljoprivrede, šumarstva, ribarstva i akvakulture, septičkih jama i kanalizacije i uređaja za obradu otpadnih voda, uključujući kanalizacijski mulj, otpadna vozila i građevni otpad, pri čemu se ovom definicijom ne dovodi u pitanje raspodjela odgovornosti za gospodarenje otpadom između javnih i privatnih subjekata</w:t>
      </w:r>
      <w:r>
        <w:rPr>
          <w:rFonts w:ascii="Times New Roman" w:hAnsi="Times New Roman"/>
          <w:szCs w:val="22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80" w:leader="none"/>
        </w:tabs>
        <w:spacing w:lineRule="auto" w:lin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Sukladno članku 67. točka 2. Zakona o gospodarenju otpadom te članku 4. Odluke o načinu pružanja javne usluge</w:t>
      </w:r>
      <w:r>
        <w:rPr>
          <w:rFonts w:cs="Times New Roman" w:ascii="Times New Roman" w:hAnsi="Times New Roman"/>
          <w:bCs/>
        </w:rPr>
        <w:t xml:space="preserve"> sakupljanja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komunalnog otpada na području </w:t>
      </w:r>
      <w:r>
        <w:rPr>
          <w:rFonts w:cs="Times New Roman" w:ascii="Times New Roman" w:hAnsi="Times New Roman"/>
        </w:rPr>
        <w:t>Općine Negoslavci, kriterij obračuna količine otpada kojeg predaje korisnik javne usluge u obračunskom razdoblju je volumen spremnika miješanog komunalnog otpada izražen u litrama i broj pražnjenja spremnika u obračunskom razdoblju.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Style w:val="Internetskapoveznica"/>
          <w:rFonts w:cs="Times New Roman" w:ascii="Times New Roman" w:hAnsi="Times New Roman"/>
          <w:color w:val="auto"/>
          <w:sz w:val="22"/>
          <w:u w:val="none"/>
        </w:rPr>
        <w:t>Obračunska jedinica: mjesec dana.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IV.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lang w:eastAsia="hr-HR"/>
        </w:rPr>
      </w:pPr>
      <w:r>
        <w:rPr>
          <w:rFonts w:cs="Times New Roman" w:ascii="Times New Roman" w:hAnsi="Times New Roman"/>
          <w:bCs/>
          <w:lang w:eastAsia="hr-HR"/>
        </w:rPr>
        <w:t xml:space="preserve">Obveze davatelja koncesije </w:t>
      </w:r>
      <w:r>
        <w:rPr>
          <w:rFonts w:cs="Times New Roman" w:ascii="Times New Roman" w:hAnsi="Times New Roman"/>
        </w:rPr>
        <w:t>definirane su člancima 75.-79. Zakona o koncesijama te odredbama Zakona o gospodarenju otpadom.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cs="Times New Roman"/>
          <w:lang w:eastAsia="hr-HR"/>
        </w:rPr>
      </w:pPr>
      <w:r>
        <w:rPr>
          <w:rFonts w:cs="Times New Roman" w:ascii="Times New Roman" w:hAnsi="Times New Roman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Odabrani Ponuditelj je u obvezi izvršiti ugovorene usluge sukladno kvaliteti, karakteristikama, cijeni i količini navedenim u ponudi i uvjetima iz dokumentacije za nadmetanje, koji svi čine sastavni dio Ugovora o koncesiji.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eastAsia="hr-HR"/>
        </w:rPr>
      </w:pPr>
      <w:r>
        <w:rPr>
          <w:rFonts w:cs="Times New Roman" w:ascii="Times New Roman" w:hAnsi="Times New Roman"/>
          <w:lang w:eastAsia="hr-HR"/>
        </w:rPr>
        <w:t xml:space="preserve">Koncesijska naknada je izražena u fiksnom iznosu </w:t>
      </w:r>
      <w:r>
        <w:rPr>
          <w:rFonts w:cs="Times New Roman" w:ascii="Times New Roman" w:hAnsi="Times New Roman"/>
        </w:rPr>
        <w:t xml:space="preserve">u visini od 500,00 EUR godišnje, odnosno 2.500,00 eur za 5 godina.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Ukoliko Koncesionar ne plati dospjelu koncesijsku naknadu, Davatelj koncesije obračunat će pripadajuću zakonsku kamatu.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Načini i rokovi plaćanja koncesije utvrdit će se ugovorom o koncesiji, sukladno dokumentaciji za nadmetanje.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temelju ove Odluke ovlašćuje se Općinski načelnik za sklapanje ugovora o koncesiji, kojim će se urediti prava i obveze Davatelja koncesije i Koncesionara.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eastAsia="hr-HR"/>
        </w:rPr>
      </w:pPr>
      <w:r>
        <w:rPr>
          <w:rFonts w:cs="Times New Roman" w:ascii="Times New Roman" w:hAnsi="Times New Roman"/>
        </w:rPr>
        <w:t xml:space="preserve">Ugovor o koncesiji sklopit će se nakon isteka roka mirovanja koji iznosi 15 dana od dana dostave ove Odluke svakom ponuditelju, odnosno </w:t>
      </w:r>
      <w:r>
        <w:rPr>
          <w:rFonts w:cs="Times New Roman" w:ascii="Times New Roman" w:hAnsi="Times New Roman"/>
          <w:lang w:eastAsia="hr-HR"/>
        </w:rPr>
        <w:t>najkasnije u roku od 10 dana od dana kada je odluka o davanju koncesije postala izvršna.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eastAsia="hr-HR"/>
        </w:rPr>
      </w:pPr>
      <w:r>
        <w:rPr>
          <w:rFonts w:cs="Times New Roman" w:ascii="Times New Roman" w:hAnsi="Times New Roman"/>
          <w:lang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eastAsia="hr-HR"/>
        </w:rPr>
      </w:pPr>
      <w:r>
        <w:rPr>
          <w:rFonts w:cs="Times New Roman" w:ascii="Times New Roman" w:hAnsi="Times New Roman"/>
          <w:b/>
          <w:lang w:eastAsia="hr-HR"/>
        </w:rPr>
        <w:t>VIII.</w:t>
      </w:r>
    </w:p>
    <w:p>
      <w:pPr>
        <w:pStyle w:val="Naslov11"/>
        <w:tabs>
          <w:tab w:val="clear" w:pos="708"/>
          <w:tab w:val="left" w:pos="0" w:leader="none"/>
        </w:tabs>
        <w:ind w:left="0" w:right="86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Koncesionar je dužan davatelju koncesije uručiti jamstvo za provedbu ugovora o koncesiji za slučaj povrede ugovornih obveza u iznosu od 10.000,00 EUR, u obliku bankarske garancije koja mora biti „neopoziva“, „bezuvjetna“, „bez prigovora“ i „na prvi poziv“, na kojoj je korisnik naznačen davatelj koncesije sukladno članku 1039. Zakona o obveznim odnosima, izdana na rok važenja koncesije. </w:t>
      </w:r>
    </w:p>
    <w:p>
      <w:pPr>
        <w:pStyle w:val="Tijeloteksta"/>
        <w:tabs>
          <w:tab w:val="clear" w:pos="708"/>
          <w:tab w:val="left" w:pos="0" w:leader="none"/>
        </w:tabs>
        <w:spacing w:before="0" w:after="0"/>
        <w:ind w:right="110" w:hanging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Umjesto jamstva provedbu ugovora o koncesiji u obliku bankarske garancije koncesionar može dati novčani polog u traženom iznosu u korist računa davatelja koncesije.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Ukoliko Koncesionar ne postupi na način utvrđen u stavku 1. ove točke, ugovor o koncesiji neće biti sklopljen.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b r a z l o ž e n j 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right="89" w:hanging="0"/>
        <w:jc w:val="both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>U Elektroničkom oglasniku javne nabave, broj objave: 2023/S 01K-0053925, datum slanja: 21.12.2023.g., datum objave: 22.12.2023.g., objavljena je Obavijest o namjeri davanja koncesije sukladno članku 31. stavku 1. Zakona o koncesijama.</w:t>
      </w:r>
    </w:p>
    <w:p>
      <w:pPr>
        <w:pStyle w:val="Normal"/>
        <w:ind w:right="8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 Obavijesti je navedeno da se koncesija daje na rok od 5 godina, uz primjenu kriterija navedenih u dokumentaciji za nadmetanje.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objavljeno javno prikupljanje ponuda pristigle su dvije ponude ponuditelja: </w:t>
      </w:r>
      <w:r>
        <w:rPr>
          <w:rFonts w:eastAsia="Calibri" w:cs="Times New Roman" w:ascii="Times New Roman" w:hAnsi="Times New Roman"/>
        </w:rPr>
        <w:t>EKO-FLOR PLUS d.o.o., Mokrice 180/C, Oroslavje</w:t>
      </w:r>
      <w:r>
        <w:rPr>
          <w:rFonts w:cs="Times New Roman" w:ascii="Times New Roman" w:hAnsi="Times New Roman"/>
        </w:rPr>
        <w:t>, i KOMUNALAC d.o.o., Sajmište 174, Vukovar.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Stručno povjerenstvo za koncesiju (u daljnjem tekstu: Stručno povjerenstvo) utvrdilo je da ponuda ponuditelja KOMUNALAC d.o.o., Sajmište 174, Vukovar</w:t>
      </w:r>
      <w:r>
        <w:rPr>
          <w:rStyle w:val="St"/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Cs/>
        </w:rPr>
        <w:t>uredna, udovoljava svim traženim zahtjevima iz dokumentacije za nadmetanje, i ekonomski najpovoljnija</w:t>
      </w:r>
      <w:r>
        <w:rPr>
          <w:rFonts w:cs="Times New Roman" w:ascii="Times New Roman" w:hAnsi="Times New Roman"/>
        </w:rPr>
        <w:t xml:space="preserve"> sukladno članku 35. stavku 1. točki 1. Zakona o koncesijama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Stoga je na prijedlog stručnog povjerenstva odlučeno kao u izreci ove Odluke</w:t>
      </w:r>
      <w:r>
        <w:rPr>
          <w:rStyle w:val="Internetskapoveznica"/>
          <w:rFonts w:cs="Times New Roman" w:ascii="Times New Roman" w:hAnsi="Times New Roman"/>
          <w:color w:val="auto"/>
          <w:sz w:val="22"/>
          <w:u w:val="none"/>
        </w:rPr>
        <w:t>.</w:t>
      </w:r>
    </w:p>
    <w:p>
      <w:pPr>
        <w:pStyle w:val="Normal"/>
        <w:tabs>
          <w:tab w:val="clear" w:pos="708"/>
          <w:tab w:val="left" w:pos="9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UPUTA O PRAVNOM LIJEKU: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Protiv ove odluke može se izjaviti žalba Državnoj komisiji za kontrolu postupka javne nabave. Rok za žalbu iznosi deset dana od dana primitka odluke o davanju koncesije u odnosu na postupak pregleda, ocjene i odabir ponude.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31F20"/>
        </w:rPr>
        <w:t>Žalba se podnosi Državnoj komisiji u pisanom obliku. Žalba se dostavlja elektroničkim sredstvima komunikacije putem međusobno povezanih informacijskih sustava Državne komisije i EOJN Republike Hrvatske.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x453040"/>
        <w:spacing w:beforeAutospacing="0" w:before="0" w:afterAutospacing="0" w:after="48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OPĆINSKO VIJEĆE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PREDSJEDNIK OPĆINSKOG VIJEĆA</w:t>
      </w:r>
    </w:p>
    <w:p>
      <w:pPr>
        <w:pStyle w:val="Normal"/>
        <w:spacing w:lineRule="auto" w:line="240" w:before="0" w:after="0"/>
        <w:ind w:left="4248" w:firstLine="708"/>
        <w:jc w:val="center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MIODRAG MIŠANOVIĆ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Dostaviti: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</w:rPr>
        <w:t>EKO-FLOR PLUS d.o.o., Mokrice 180/C, Oroslavje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KOMUNALAC d.o.o., Sajmište 174, Vukovar</w:t>
      </w:r>
      <w:r>
        <w:rPr>
          <w:rFonts w:eastAsia="Calibri" w:cs="Times New Roman" w:ascii="Times New Roman" w:hAnsi="Times New Roman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</w:rPr>
        <w:t>Internetska stranica Općine Negoslavci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</w:rPr>
        <w:t>Elektronički oglasnik javne nabave Republike Hrvatske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eastAsia="Calibri" w:cs="Times New Roman" w:ascii="Times New Roman" w:hAnsi="Times New Roman"/>
        </w:rPr>
        <w:t>Pismohrana, ovdje</w:t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69805366"/>
    </w:sdtPr>
    <w:sdtContent>
      <w:p>
        <w:pPr>
          <w:pStyle w:val="Podnoje"/>
          <w:jc w:val="right"/>
          <w:rPr/>
        </w:pPr>
        <w:r>
          <w:rPr/>
          <mc:AlternateContent>
            <mc:Choice Requires="wpg">
              <w:drawing>
                <wp:anchor behindDoc="1" distT="1270" distB="635" distL="1270" distR="635" simplePos="0" locked="0" layoutInCell="0" allowOverlap="1" relativeHeight="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46050"/>
                  <wp:effectExtent l="1270" t="1270" r="635" b="635"/>
                  <wp:wrapNone/>
                  <wp:docPr id="2" name="Group 1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8760" cy="146160"/>
                            <a:chOff x="0" y="0"/>
                            <a:chExt cx="7538760" cy="14616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538760" cy="146160"/>
                            </a:xfrm>
                          </wpg:grpSpPr>
                          <wps:wsp>
                            <wps:cNvSpPr/>
                            <wps:spPr>
                              <a:xfrm flipV="1">
                                <a:off x="0" y="0"/>
                                <a:ext cx="774720" cy="146160"/>
                              </a:xfrm>
                              <a:prstGeom prst="bentConnector3">
                                <a:avLst>
                                  <a:gd name="adj1" fmla="val 10800"/>
                                </a:avLst>
                              </a:prstGeom>
                              <a:noFill/>
                              <a:ln w="0">
                                <a:solidFill>
                                  <a:srgbClr val="a5a5a5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0800000">
                                <a:off x="774000" y="0"/>
                                <a:ext cx="6764760" cy="146160"/>
                              </a:xfrm>
                              <a:prstGeom prst="bentConnector3">
                                <a:avLst>
                                  <a:gd name="adj1" fmla="val 20904"/>
                                </a:avLst>
                              </a:prstGeom>
                              <a:noFill/>
                              <a:ln w="0">
                                <a:solidFill>
                                  <a:srgbClr val="a5a5a5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1" style="position:absolute;margin-left:0.85pt;margin-top:29.6pt;width:593.55pt;height:11.55pt" coordorigin="17,592" coordsize="11871,231">
                  <v:group id="shape_0" style="position:absolute;left:17;top:592;width:11871;height:231">
                    <v:shapetype id="_x0000_t34" coordsize="21600,21600" o:spt="34" adj="10800" path="m,l@0,l@0,21600l21600,21600nfe">
                      <v:stroke joinstyle="miter"/>
                      <v:formulas>
                        <v:f eqn="val #0"/>
                      </v:formulas>
                      <v:path gradientshapeok="t" o:connecttype="rect" textboxrect="0,0,21600,21600"/>
                      <v:handles>
                        <v:h position="@0,10800"/>
                      </v:handles>
                    </v:shapetype>
                    <v:shape id="shape_0" path="m0,0l-2147483647,0l-2147483647,-2147483644l-2147483645,-2147483644e" stroked="t" o:allowincell="f" style="position:absolute;left:17;top:593;width:1219;height:229;flip:y;mso-wrap-style:none;v-text-anchor:middle;mso-position-horizontal:center;mso-position-horizontal-relative:page;mso-position-vertical:center" type="_x0000_t34">
                      <v:fill o:detectmouseclick="t" on="false"/>
                      <v:stroke color="#a5a5a5" joinstyle="round" endcap="flat"/>
                      <w10:wrap type="none"/>
                    </v:shape>
                    <v:shape id="shape_0" path="m0,0l-2147483647,0l-2147483647,-2147483644l-2147483645,-2147483644e" stroked="t" o:allowincell="f" style="position:absolute;left:1236;top:593;width:10652;height:229;mso-wrap-style:none;v-text-anchor:middle;rotation:180;mso-position-horizontal:center;mso-position-horizontal-relative:page;mso-position-vertical:center" type="_x0000_t34">
                      <v:fill o:detectmouseclick="t" on="false"/>
                      <v:stroke color="#a5a5a5" joinstyle="round" endcap="flat"/>
                      <w10:wrap type="none"/>
                    </v:shape>
                  </v:group>
                </v:group>
              </w:pict>
            </mc:Fallback>
          </mc:AlternateContent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8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52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4">
    <w:name w:val="Heading 4"/>
    <w:basedOn w:val="Normal"/>
    <w:next w:val="Normal"/>
    <w:link w:val="Naslov4Char"/>
    <w:uiPriority w:val="9"/>
    <w:unhideWhenUsed/>
    <w:qFormat/>
    <w:rsid w:val="00ce59aa"/>
    <w:pPr>
      <w:keepNext w:val="true"/>
      <w:keepLines/>
      <w:spacing w:lineRule="auto" w:line="240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fe4437"/>
    <w:rPr>
      <w:rFonts w:ascii="Tahoma" w:hAnsi="Tahoma" w:cs="Tahoma"/>
      <w:sz w:val="16"/>
      <w:szCs w:val="16"/>
    </w:rPr>
  </w:style>
  <w:style w:type="character" w:styleId="ZaglavljeChar" w:customStyle="1">
    <w:name w:val="Zaglavlje Char"/>
    <w:basedOn w:val="DefaultParagraphFont"/>
    <w:uiPriority w:val="99"/>
    <w:qFormat/>
    <w:rsid w:val="008767f0"/>
    <w:rPr>
      <w:rFonts w:ascii="Times New Roman" w:hAnsi="Times New Roman" w:eastAsia="Times New Roman" w:cs="Times New Roman"/>
      <w:sz w:val="24"/>
      <w:szCs w:val="24"/>
    </w:rPr>
  </w:style>
  <w:style w:type="character" w:styleId="PodnojeChar" w:customStyle="1">
    <w:name w:val="Podnožje Char"/>
    <w:basedOn w:val="DefaultParagraphFont"/>
    <w:uiPriority w:val="99"/>
    <w:semiHidden/>
    <w:qFormat/>
    <w:rsid w:val="00dc09c7"/>
    <w:rPr/>
  </w:style>
  <w:style w:type="character" w:styleId="Naslov4Char" w:customStyle="1">
    <w:name w:val="Naslov 4 Char"/>
    <w:basedOn w:val="DefaultParagraphFont"/>
    <w:uiPriority w:val="9"/>
    <w:qFormat/>
    <w:rsid w:val="00ce59a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4"/>
    </w:rPr>
  </w:style>
  <w:style w:type="character" w:styleId="OdlomakpopisaChar" w:customStyle="1">
    <w:name w:val="Odlomak popisa Char"/>
    <w:basedOn w:val="DefaultParagraphFont"/>
    <w:link w:val="ListParagraph"/>
    <w:uiPriority w:val="34"/>
    <w:qFormat/>
    <w:locked/>
    <w:rsid w:val="002a1e29"/>
    <w:rPr/>
  </w:style>
  <w:style w:type="character" w:styleId="Internetskapoveznica">
    <w:name w:val="Hyperlink"/>
    <w:rsid w:val="00df7760"/>
    <w:rPr>
      <w:rFonts w:ascii="Trebuchet MS" w:hAnsi="Trebuchet MS"/>
      <w:color w:val="0000FF"/>
      <w:sz w:val="20"/>
      <w:u w:val="single"/>
    </w:rPr>
  </w:style>
  <w:style w:type="character" w:styleId="St" w:customStyle="1">
    <w:name w:val="st"/>
    <w:basedOn w:val="DefaultParagraphFont"/>
    <w:qFormat/>
    <w:rsid w:val="00df7760"/>
    <w:rPr/>
  </w:style>
  <w:style w:type="character" w:styleId="Isticanje">
    <w:name w:val="Emphasis"/>
    <w:basedOn w:val="DefaultParagraphFont"/>
    <w:uiPriority w:val="20"/>
    <w:qFormat/>
    <w:rsid w:val="003b3e1b"/>
    <w:rPr>
      <w:i/>
      <w:iCs/>
    </w:rPr>
  </w:style>
  <w:style w:type="character" w:styleId="TijelotekstaChar" w:customStyle="1">
    <w:name w:val="Tijelo teksta Char"/>
    <w:basedOn w:val="DefaultParagraphFont"/>
    <w:qFormat/>
    <w:rsid w:val="00a9478e"/>
    <w:rPr>
      <w:rFonts w:ascii="Arial" w:hAnsi="Arial" w:eastAsia="Times New Roman" w:cs="Times New Roman"/>
      <w:szCs w:val="24"/>
      <w:lang w:eastAsia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a9478e"/>
    <w:pPr>
      <w:suppressAutoHyphens w:val="true"/>
      <w:spacing w:lineRule="auto" w:line="240" w:before="0" w:after="120"/>
    </w:pPr>
    <w:rPr>
      <w:rFonts w:ascii="Arial" w:hAnsi="Arial" w:eastAsia="Times New Roman" w:cs="Times New Roman"/>
      <w:szCs w:val="24"/>
      <w:lang w:eastAsia="ar-SA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e44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8767f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link w:val="OdlomakpopisaChar"/>
    <w:uiPriority w:val="34"/>
    <w:qFormat/>
    <w:rsid w:val="001a38a4"/>
    <w:pPr>
      <w:spacing w:before="0" w:after="20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dc09c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1" w:customStyle="1">
    <w:name w:val="No Spacing1"/>
    <w:uiPriority w:val="1"/>
    <w:qFormat/>
    <w:rsid w:val="00df77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Default" w:customStyle="1">
    <w:name w:val="Default"/>
    <w:qFormat/>
    <w:rsid w:val="003b3e1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hr-HR" w:bidi="ar-SA"/>
    </w:rPr>
  </w:style>
  <w:style w:type="paragraph" w:styleId="Envelopereturn">
    <w:name w:val="envelope return"/>
    <w:basedOn w:val="Normal"/>
    <w:qFormat/>
    <w:rsid w:val="003b3e1b"/>
    <w:pPr>
      <w:spacing w:lineRule="auto" w:line="240" w:before="0" w:after="0"/>
    </w:pPr>
    <w:rPr>
      <w:rFonts w:ascii="Verdana" w:hAnsi="Verdana" w:eastAsia="Times New Roman" w:cs="Arial"/>
      <w:b/>
      <w:sz w:val="20"/>
      <w:szCs w:val="20"/>
    </w:rPr>
  </w:style>
  <w:style w:type="paragraph" w:styleId="Box453040" w:customStyle="1">
    <w:name w:val="box_453040"/>
    <w:basedOn w:val="Normal"/>
    <w:qFormat/>
    <w:rsid w:val="00a72e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dyA" w:customStyle="1">
    <w:name w:val="Body A"/>
    <w:qFormat/>
    <w:rsid w:val="003d67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hr-HR" w:eastAsia="hr-HR" w:bidi="ar-SA"/>
    </w:rPr>
  </w:style>
  <w:style w:type="paragraph" w:styleId="Naslov11" w:customStyle="1">
    <w:name w:val="Naslov 11"/>
    <w:basedOn w:val="Normal"/>
    <w:uiPriority w:val="1"/>
    <w:qFormat/>
    <w:rsid w:val="005c2861"/>
    <w:pPr>
      <w:widowControl w:val="false"/>
      <w:spacing w:lineRule="auto" w:line="240" w:before="0" w:after="0"/>
      <w:ind w:left="116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762e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odernatablica">
    <w:name w:val="Table Contemporary"/>
    <w:basedOn w:val="Obinatablica"/>
    <w:uiPriority w:val="99"/>
    <w:rsid w:val="00043c33"/>
    <w:rPr>
      <w:lang w:eastAsia="hr-HR"/>
      <w:sz w:val="20"/>
      <w:szCs w:val="20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Svijetlipopis-Isticanje5">
    <w:name w:val="Light List Accent 5"/>
    <w:basedOn w:val="Obinatablica"/>
    <w:uiPriority w:val="61"/>
    <w:rsid w:val="00292a4d"/>
    <w:pPr>
      <w:spacing w:after="0" w:line="240" w:lineRule="auto"/>
    </w:pPr>
    <w:rPr>
      <w:lang w:eastAsia="hr-HR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Application>LibreOffice/7.4.1.2$Windows_X86_64 LibreOffice_project/3c58a8f3a960df8bc8fd77b461821e42c061c5f0</Application>
  <AppVersion>15.0000</AppVersion>
  <Pages>4</Pages>
  <Words>926</Words>
  <Characters>5658</Characters>
  <CharactersWithSpaces>6533</CharactersWithSpaces>
  <Paragraphs>61</Paragraphs>
  <Company>Općina Nuštar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2021-03-17T10:32:00Z</dcterms:created>
  <dc:creator>Općina Nuštar</dc:creator>
  <dc:description/>
  <dc:language>hr-HR</dc:language>
  <cp:lastModifiedBy/>
  <cp:lastPrinted>2024-02-23T08:58:09Z</cp:lastPrinted>
  <dcterms:modified xsi:type="dcterms:W3CDTF">2024-02-23T09:15:25Z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