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  <w:br/>
        <w:t>OPĆINA NEGOSLAVCI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both"/>
        <w:rPr>
          <w:rFonts w:eastAsia="Calibri" w:cs="Times New Roman"/>
          <w:sz w:val="28"/>
          <w:szCs w:val="28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400-04/24</w:t>
      </w:r>
      <w:r>
        <w:rPr>
          <w:rFonts w:eastAsia="Calibri" w:cs="Times New Roman"/>
          <w:color w:val="000000"/>
          <w:szCs w:val="24"/>
          <w:lang w:val="hr-HR"/>
        </w:rPr>
        <w:t>-01/02</w:t>
      </w:r>
    </w:p>
    <w:p>
      <w:pPr>
        <w:pStyle w:val="Normal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 xml:space="preserve">URBROJ: </w:t>
      </w:r>
      <w:r>
        <w:rPr>
          <w:rFonts w:eastAsia="Calibri" w:cs="Times New Roman"/>
          <w:color w:val="000000"/>
          <w:szCs w:val="24"/>
          <w:lang w:val="hr-HR"/>
        </w:rPr>
        <w:t>2196-19-01-24-</w:t>
      </w:r>
      <w:r>
        <w:rPr>
          <w:rFonts w:eastAsia="Calibri" w:cs="Times New Roman"/>
          <w:color w:val="000000"/>
          <w:szCs w:val="24"/>
          <w:lang w:val="hr-HR"/>
        </w:rPr>
        <w:t>10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28.</w:t>
      </w:r>
      <w:r>
        <w:rPr>
          <w:rFonts w:eastAsia="Calibri" w:cs="Times New Roman"/>
          <w:szCs w:val="24"/>
          <w:lang w:val="hr-HR"/>
        </w:rPr>
        <w:t>03.2024. godine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32., stavka 2., točke 2. Statuta Općine Negoslavci („Službeni glasnik Općine Negoslavci“ broj 01/21 i 7/23), Općinski načelnik Općine Negoslavci da</w:t>
      </w:r>
      <w:r>
        <w:rPr>
          <w:rFonts w:eastAsia="Calibri" w:cs="Times New Roman"/>
          <w:color w:val="000000"/>
          <w:szCs w:val="24"/>
          <w:lang w:val="hr-HR"/>
        </w:rPr>
        <w:t>na 28.03</w:t>
      </w:r>
      <w:r>
        <w:rPr>
          <w:rFonts w:eastAsia="Calibri" w:cs="Times New Roman"/>
          <w:szCs w:val="24"/>
          <w:lang w:val="hr-HR"/>
        </w:rPr>
        <w:t>.2024. godine donosi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>Izvješće o izvršenju Programa</w:t>
      </w:r>
      <w:bookmarkEnd w:id="0"/>
      <w:r>
        <w:rPr>
          <w:rFonts w:eastAsia="Calibri" w:cs="Times New Roman"/>
          <w:b/>
          <w:szCs w:val="24"/>
          <w:lang w:val="hr-HR"/>
        </w:rPr>
        <w:t xml:space="preserve"> demografskih mjera Općine Negoslavci za 2023. godinu</w:t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Utvrđuje se da je tijekom 2023. godine izvršen Program demografskih mjera Općine Negoslavci za 2023. godinu, kako slijedi.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sredstava i ostvarenja plana: Općinski proračun.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i izvršenih sredstava iz Općinskog proračuna Općine Negoslavci.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tbl>
      <w:tblPr>
        <w:tblStyle w:val="Reetkatablice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2"/>
        <w:gridCol w:w="1948"/>
        <w:gridCol w:w="1741"/>
      </w:tblGrid>
      <w:tr>
        <w:trPr/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ndale Sans UI"/>
                <w:b/>
                <w:b/>
                <w:bCs/>
                <w:szCs w:val="24"/>
                <w:lang w:eastAsia="ar-SA"/>
              </w:rPr>
            </w:pPr>
            <w:r>
              <w:rPr>
                <w:rFonts w:eastAsia="Andale Sans UI" w:cs=""/>
                <w:b/>
                <w:bCs/>
                <w:kern w:val="0"/>
                <w:sz w:val="24"/>
                <w:szCs w:val="24"/>
                <w:lang w:val="en-US" w:eastAsia="ar-SA" w:bidi="ar-SA"/>
              </w:rPr>
              <w:t>NAZIV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ndale Sans UI"/>
                <w:b/>
                <w:b/>
                <w:bCs/>
                <w:szCs w:val="24"/>
                <w:lang w:eastAsia="ar-SA"/>
              </w:rPr>
            </w:pPr>
            <w:r>
              <w:rPr>
                <w:rFonts w:eastAsia="Andale Sans UI" w:cs=""/>
                <w:b/>
                <w:bCs/>
                <w:kern w:val="0"/>
                <w:sz w:val="24"/>
                <w:szCs w:val="24"/>
                <w:lang w:val="en-US" w:eastAsia="ar-SA" w:bidi="ar-SA"/>
              </w:rPr>
              <w:t>PLAN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ndale Sans UI"/>
                <w:b/>
                <w:b/>
                <w:bCs/>
                <w:szCs w:val="24"/>
                <w:lang w:eastAsia="ar-SA"/>
              </w:rPr>
            </w:pPr>
            <w:r>
              <w:rPr>
                <w:rFonts w:eastAsia="Andale Sans UI" w:cs=""/>
                <w:b/>
                <w:bCs/>
                <w:kern w:val="0"/>
                <w:sz w:val="24"/>
                <w:szCs w:val="24"/>
                <w:lang w:val="en-US" w:eastAsia="ar-SA" w:bidi="ar-SA"/>
              </w:rPr>
              <w:t>OSTVARENO</w:t>
            </w:r>
          </w:p>
        </w:tc>
      </w:tr>
      <w:tr>
        <w:trPr/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ndale Sans UI"/>
                <w:szCs w:val="24"/>
                <w:lang w:eastAsia="ar-SA"/>
              </w:rPr>
            </w:pPr>
            <w:r>
              <w:rPr>
                <w:rFonts w:cs=""/>
                <w:kern w:val="0"/>
                <w:sz w:val="24"/>
                <w:szCs w:val="24"/>
                <w:lang w:val="hr-HR" w:eastAsia="en-US" w:bidi="ar-SA"/>
              </w:rPr>
              <w:t>Darovnice za novorođenčad i ostale pomoći za novorođenčad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3.981,68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4.200,00</w:t>
            </w:r>
          </w:p>
        </w:tc>
      </w:tr>
      <w:tr>
        <w:trPr/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ndale Sans UI"/>
                <w:szCs w:val="24"/>
                <w:lang w:eastAsia="ar-SA"/>
              </w:rPr>
            </w:pPr>
            <w:r>
              <w:rPr>
                <w:rFonts w:cs=""/>
                <w:kern w:val="0"/>
                <w:sz w:val="24"/>
                <w:szCs w:val="24"/>
                <w:lang w:val="hr-HR" w:eastAsia="en-US" w:bidi="ar-SA"/>
              </w:rPr>
              <w:t>Stipendije i školarine učenika i studenata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0,00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0,00</w:t>
            </w:r>
          </w:p>
        </w:tc>
      </w:tr>
      <w:tr>
        <w:trPr/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4"/>
                <w:lang w:val="hr-HR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Jednokratne naknade za pomoć mladima i mladim obiteljima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13.272,28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6.600,00</w:t>
            </w:r>
          </w:p>
        </w:tc>
      </w:tr>
      <w:tr>
        <w:trPr/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4"/>
                <w:lang w:val="hr-HR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Pomoć obiteljima za đake prvake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1.990,84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1.350,00</w:t>
            </w:r>
          </w:p>
        </w:tc>
      </w:tr>
      <w:tr>
        <w:trPr/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4"/>
                <w:lang w:val="hr-HR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Naknade za pomoć poduzetnicima na području Općine Negoslavci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13.272,28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szCs w:val="24"/>
                <w:lang w:eastAsia="ar-SA"/>
              </w:rPr>
            </w:pPr>
            <w:r>
              <w:rPr>
                <w:rFonts w:eastAsia="Andale Sans UI"/>
                <w:szCs w:val="24"/>
                <w:lang w:eastAsia="ar-SA"/>
              </w:rPr>
              <w:t>9.654,45</w:t>
            </w:r>
          </w:p>
        </w:tc>
      </w:tr>
      <w:tr>
        <w:trPr>
          <w:trHeight w:val="70" w:hRule="atLeast"/>
        </w:trPr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szCs w:val="24"/>
                <w:lang w:val="hr-HR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UKUPNO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b/>
                <w:b/>
                <w:bCs/>
                <w:szCs w:val="24"/>
                <w:lang w:eastAsia="ar-SA"/>
              </w:rPr>
            </w:pPr>
            <w:r>
              <w:rPr>
                <w:rFonts w:eastAsia="Andale Sans UI"/>
                <w:b/>
                <w:bCs/>
                <w:szCs w:val="24"/>
                <w:lang w:eastAsia="ar-SA"/>
              </w:rPr>
              <w:t>32.517,08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ndale Sans UI"/>
                <w:b/>
                <w:b/>
                <w:bCs/>
                <w:szCs w:val="24"/>
                <w:lang w:eastAsia="ar-SA"/>
              </w:rPr>
            </w:pPr>
            <w:r>
              <w:rPr>
                <w:rFonts w:eastAsia="Andale Sans UI"/>
                <w:b/>
                <w:bCs/>
                <w:szCs w:val="24"/>
                <w:lang w:eastAsia="ar-SA"/>
              </w:rPr>
              <w:t>21.804,45</w:t>
            </w:r>
          </w:p>
        </w:tc>
      </w:tr>
    </w:tbl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Izvještaj se dostavlja Općinskom vijeću na razmatranje i odlučivanje.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6dc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5c798c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c798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416d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LibreOffice/7.4.1.2$Windows_X86_64 LibreOffice_project/3c58a8f3a960df8bc8fd77b461821e42c061c5f0</Application>
  <AppVersion>15.0000</AppVersion>
  <Pages>1</Pages>
  <Words>177</Words>
  <Characters>1165</Characters>
  <CharactersWithSpaces>1328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2022-04-05T12:08:00Z</dcterms:created>
  <dc:creator>Korisnik</dc:creator>
  <dc:description/>
  <dc:language>hr-HR</dc:language>
  <cp:lastModifiedBy/>
  <cp:lastPrinted>2023-03-22T09:18:00Z</cp:lastPrinted>
  <dcterms:modified xsi:type="dcterms:W3CDTF">2024-03-29T07:34:33Z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