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s="Times New Roman"/>
          <w:lang w:eastAsia="hr-HR"/>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r>
    </w:p>
    <w:p>
      <w:pPr>
        <w:pStyle w:val="Normal"/>
        <w:jc w:val="right"/>
        <w:rPr>
          <w:rFonts w:eastAsia="Times New Roman" w:cs="Times New Roman"/>
          <w:lang w:eastAsia="hr-HR"/>
        </w:rPr>
      </w:pPr>
      <w:r>
        <w:rPr>
          <w:rFonts w:eastAsia="Times New Roman" w:cs="Times New Roman"/>
          <w:lang w:eastAsia="hr-HR"/>
        </w:rPr>
        <w:t>ISSN: 2757-3435</w:t>
      </w:r>
    </w:p>
    <w:p>
      <w:pPr>
        <w:pStyle w:val="Normal"/>
        <w:jc w:val="right"/>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t>SLUŽBENI GLASNIK</w:t>
      </w:r>
    </w:p>
    <w:p>
      <w:pPr>
        <w:pStyle w:val="Normal"/>
        <w:jc w:val="center"/>
        <w:rPr>
          <w:rFonts w:eastAsia="Times New Roman" w:cs="Times New Roman"/>
          <w:lang w:eastAsia="hr-HR"/>
        </w:rPr>
      </w:pPr>
      <w:r>
        <w:rPr>
          <w:rFonts w:eastAsia="Times New Roman" w:cs="Times New Roman"/>
          <w:lang w:eastAsia="hr-HR"/>
        </w:rPr>
        <w:t>OPĆINE NEGOSLAVCI</w:t>
      </w:r>
    </w:p>
    <w:p>
      <w:pPr>
        <w:pStyle w:val="Normal"/>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lang w:eastAsia="hr-HR"/>
        </w:rPr>
      </w:pPr>
      <w:r>
        <w:rPr>
          <w:rFonts w:eastAsia="Times New Roman" w:cs="Times New Roman"/>
          <w:lang w:eastAsia="hr-HR"/>
        </w:rPr>
        <w:t xml:space="preserve">Broj 21. God. IV Negoslavci, </w:t>
      </w:r>
      <w:r>
        <w:rPr>
          <w:rFonts w:eastAsia="Times New Roman" w:cs="Times New Roman"/>
          <w:lang w:eastAsia="hr-HR"/>
        </w:rPr>
        <w:t>14</w:t>
      </w:r>
      <w:r>
        <w:rPr>
          <w:rFonts w:eastAsia="Times New Roman" w:cs="Times New Roman"/>
          <w:lang w:eastAsia="hr-HR"/>
        </w:rPr>
        <w:t>.0</w:t>
      </w:r>
      <w:r>
        <w:rPr>
          <w:rFonts w:eastAsia="Times New Roman" w:cs="Times New Roman"/>
          <w:lang w:eastAsia="hr-HR"/>
        </w:rPr>
        <w:t>5</w:t>
      </w:r>
      <w:r>
        <w:rPr>
          <w:rFonts w:eastAsia="Times New Roman" w:cs="Times New Roman"/>
          <w:lang w:eastAsia="hr-HR"/>
        </w:rPr>
        <w:t>.2024. godine</w:t>
      </w:r>
    </w:p>
    <w:p>
      <w:pPr>
        <w:pStyle w:val="Normal"/>
        <w:jc w:val="center"/>
        <w:rPr>
          <w:rFonts w:eastAsia="Times New Roman" w:cs="Times New Roman"/>
          <w:lang w:eastAsia="hr-HR"/>
        </w:rPr>
      </w:pPr>
      <w:r>
        <w:rPr>
          <w:rFonts w:eastAsia="Times New Roman" w:cs="Times New Roman"/>
          <w:sz w:val="24"/>
          <w:szCs w:val="24"/>
          <w:lang w:eastAsia="hr-HR"/>
        </w:rPr>
        <w:t>Izlazi prema potrebi</w:t>
      </w:r>
    </w:p>
    <w:p>
      <w:pPr>
        <w:pStyle w:val="Normal"/>
        <w:numPr>
          <w:ilvl w:val="0"/>
          <w:numId w:val="0"/>
        </w:numPr>
        <w:bidi w:val="0"/>
        <w:ind w:left="0" w:hanging="0"/>
        <w:jc w:val="both"/>
        <w:rPr>
          <w:rFonts w:ascii="Liberation Serif" w:hAnsi="Liberation Serif"/>
        </w:rPr>
      </w:pPr>
      <w:r>
        <w:rPr/>
      </w:r>
    </w:p>
    <w:p>
      <w:pPr>
        <w:pStyle w:val="Normal"/>
        <w:spacing w:beforeAutospacing="1" w:afterAutospacing="1"/>
        <w:jc w:val="center"/>
        <w:rPr>
          <w:rFonts w:eastAsia="Times New Roman" w:cs="Times New Roman"/>
          <w:lang w:eastAsia="hr-HR"/>
        </w:rPr>
      </w:pPr>
      <w:r>
        <w:rPr>
          <w:rFonts w:eastAsia="Times New Roman" w:cs="Times New Roman"/>
          <w:lang w:eastAsia="hr-HR"/>
        </w:rPr>
      </w:r>
    </w:p>
    <w:p>
      <w:pPr>
        <w:pStyle w:val="Normal"/>
        <w:spacing w:beforeAutospacing="1" w:afterAutospacing="1"/>
        <w:jc w:val="center"/>
        <w:rPr>
          <w:rFonts w:eastAsia="Times New Roman" w:cs="Times New Roman"/>
          <w:lang w:eastAsia="hr-HR"/>
        </w:rPr>
      </w:pPr>
      <w:r>
        <w:rPr>
          <w:rFonts w:eastAsia="Times New Roman" w:cs="Times New Roman"/>
          <w:b/>
          <w:bCs/>
          <w:lang w:eastAsia="hr-HR"/>
        </w:rPr>
        <w:t>„</w:t>
      </w:r>
      <w:r>
        <w:rPr>
          <w:rFonts w:eastAsia="Times New Roman" w:cs="Times New Roman"/>
          <w:b/>
          <w:bCs/>
          <w:lang w:eastAsia="hr-HR"/>
        </w:rPr>
        <w:t>SLUŽBENI GLASNIK OPĆINE NEGOSLAVCI“</w:t>
      </w:r>
    </w:p>
    <w:p>
      <w:pPr>
        <w:pStyle w:val="Normal"/>
        <w:spacing w:beforeAutospacing="1" w:afterAutospacing="1"/>
        <w:jc w:val="center"/>
        <w:rPr>
          <w:rFonts w:eastAsia="Times New Roman" w:cs="Times New Roman"/>
          <w:b/>
          <w:b/>
          <w:bCs/>
          <w:lang w:eastAsia="hr-HR"/>
        </w:rPr>
      </w:pPr>
      <w:r>
        <w:rPr>
          <w:rFonts w:eastAsia="Times New Roman" w:cs="Times New Roman"/>
          <w:b/>
          <w:bCs/>
          <w:lang w:eastAsia="hr-HR"/>
        </w:rPr>
      </w:r>
    </w:p>
    <w:p>
      <w:pPr>
        <w:pStyle w:val="Normal"/>
        <w:spacing w:beforeAutospacing="1" w:afterAutospacing="1"/>
        <w:jc w:val="center"/>
        <w:rPr>
          <w:rFonts w:eastAsia="Times New Roman" w:cs="Times New Roman"/>
          <w:b/>
          <w:b/>
          <w:bCs/>
          <w:lang w:eastAsia="hr-HR"/>
        </w:rPr>
      </w:pPr>
      <w:r>
        <w:rPr>
          <w:rFonts w:eastAsia="Times New Roman" w:cs="Times New Roman"/>
          <w:b/>
          <w:bCs/>
          <w:lang w:eastAsia="hr-HR"/>
        </w:rPr>
        <w:t>Nakladnik – Općina Negoslavci</w:t>
      </w:r>
    </w:p>
    <w:p>
      <w:pPr>
        <w:pStyle w:val="Normal"/>
        <w:spacing w:beforeAutospacing="1" w:afterAutospacing="1"/>
        <w:jc w:val="center"/>
        <w:rPr>
          <w:rFonts w:eastAsia="Times New Roman" w:cs="Times New Roman"/>
          <w:lang w:eastAsia="hr-HR"/>
        </w:rPr>
      </w:pPr>
      <w:r>
        <w:rPr>
          <w:rFonts w:eastAsia="Times New Roman" w:cs="Times New Roman"/>
          <w:lang w:eastAsia="hr-HR"/>
        </w:rPr>
      </w:r>
    </w:p>
    <w:p>
      <w:pPr>
        <w:pStyle w:val="Normal"/>
        <w:spacing w:beforeAutospacing="1" w:afterAutospacing="1"/>
        <w:jc w:val="center"/>
        <w:rPr>
          <w:rFonts w:eastAsia="Times New Roman" w:cs="Times New Roman"/>
          <w:lang w:eastAsia="hr-HR"/>
        </w:rPr>
      </w:pPr>
      <w:r>
        <w:rPr>
          <w:rFonts w:eastAsia="Times New Roman" w:cs="Times New Roman"/>
          <w:lang w:eastAsia="hr-HR"/>
        </w:rPr>
        <w:t>Uredništvo:</w:t>
      </w:r>
    </w:p>
    <w:p>
      <w:pPr>
        <w:pStyle w:val="Normal"/>
        <w:spacing w:beforeAutospacing="1" w:afterAutospacing="1"/>
        <w:jc w:val="center"/>
        <w:rPr>
          <w:rFonts w:eastAsia="Times New Roman" w:cs="Times New Roman"/>
          <w:lang w:eastAsia="hr-HR"/>
        </w:rPr>
      </w:pPr>
      <w:r>
        <w:rPr>
          <w:rFonts w:eastAsia="Times New Roman" w:cs="Times New Roman"/>
          <w:lang w:eastAsia="hr-HR"/>
        </w:rPr>
        <w:t>Općinski načelnik: Dušan Jeckov – glavni i odgovorni urednik</w:t>
      </w:r>
    </w:p>
    <w:p>
      <w:pPr>
        <w:pStyle w:val="Normal"/>
        <w:spacing w:beforeAutospacing="1" w:afterAutospacing="1"/>
        <w:jc w:val="center"/>
        <w:rPr>
          <w:rFonts w:eastAsia="Times New Roman" w:cs="Times New Roman"/>
          <w:lang w:eastAsia="hr-HR"/>
        </w:rPr>
      </w:pPr>
      <w:r>
        <w:rPr>
          <w:rFonts w:eastAsia="Times New Roman" w:cs="Times New Roman"/>
          <w:lang w:eastAsia="hr-HR"/>
        </w:rPr>
        <w:t>Pročelnica Jedinstvenog upravnog odjela: Marina Stojnović</w:t>
      </w:r>
    </w:p>
    <w:p>
      <w:pPr>
        <w:pStyle w:val="Normal"/>
        <w:spacing w:beforeAutospacing="1" w:afterAutospacing="1"/>
        <w:ind w:left="720" w:hanging="0"/>
        <w:jc w:val="center"/>
        <w:rPr>
          <w:rFonts w:eastAsia="Times New Roman" w:cs="Times New Roman"/>
          <w:lang w:eastAsia="hr-HR"/>
        </w:rPr>
      </w:pPr>
      <w:r>
        <w:rPr>
          <w:rFonts w:eastAsia="Times New Roman" w:cs="Times New Roman"/>
          <w:lang w:eastAsia="hr-HR"/>
        </w:rPr>
      </w:r>
    </w:p>
    <w:p>
      <w:pPr>
        <w:pStyle w:val="Normal"/>
        <w:spacing w:beforeAutospacing="1" w:afterAutospacing="1"/>
        <w:jc w:val="center"/>
        <w:rPr>
          <w:rFonts w:eastAsia="Times New Roman" w:cs="Times New Roman"/>
          <w:lang w:eastAsia="hr-HR"/>
        </w:rPr>
      </w:pPr>
      <w:r>
        <w:rPr>
          <w:rFonts w:eastAsia="Times New Roman" w:cs="Times New Roman"/>
          <w:lang w:eastAsia="hr-HR"/>
        </w:rPr>
        <w:t>Negoslavci, Vukovarska 7, 32 239 Negoslavci, Republika Hrvatska</w:t>
      </w:r>
    </w:p>
    <w:p>
      <w:pPr>
        <w:pStyle w:val="Normal"/>
        <w:spacing w:beforeAutospacing="1" w:afterAutospacing="1"/>
        <w:jc w:val="center"/>
        <w:rPr>
          <w:rFonts w:eastAsia="Times New Roman" w:cs="Times New Roman"/>
          <w:lang w:eastAsia="hr-HR"/>
        </w:rPr>
      </w:pPr>
      <w:r>
        <w:rPr>
          <w:rFonts w:eastAsia="Times New Roman" w:cs="Times New Roman"/>
          <w:lang w:eastAsia="hr-HR"/>
        </w:rPr>
        <w:t>Telefon: 032/517-054</w:t>
      </w:r>
    </w:p>
    <w:p>
      <w:pPr>
        <w:pStyle w:val="Normal"/>
        <w:spacing w:beforeAutospacing="1" w:afterAutospacing="1"/>
        <w:jc w:val="center"/>
        <w:rPr>
          <w:rFonts w:eastAsia="Times New Roman" w:cs="Times New Roman"/>
          <w:lang w:eastAsia="hr-HR"/>
        </w:rPr>
      </w:pPr>
      <w:r>
        <w:rPr>
          <w:rFonts w:eastAsia="Times New Roman" w:cs="Times New Roman"/>
          <w:lang w:eastAsia="hr-HR"/>
        </w:rPr>
        <w:t>Fax: 032/517-054</w:t>
      </w:r>
    </w:p>
    <w:p>
      <w:pPr>
        <w:pStyle w:val="Normal"/>
        <w:spacing w:beforeAutospacing="1" w:afterAutospacing="1"/>
        <w:jc w:val="center"/>
        <w:rPr>
          <w:rFonts w:eastAsia="Times New Roman" w:cs="Times New Roman"/>
          <w:lang w:eastAsia="hr-HR"/>
        </w:rPr>
      </w:pPr>
      <w:r>
        <w:rPr>
          <w:rFonts w:eastAsia="Times New Roman" w:cs="Times New Roman"/>
          <w:lang w:eastAsia="hr-HR"/>
        </w:rPr>
      </w:r>
    </w:p>
    <w:p>
      <w:pPr>
        <w:pStyle w:val="Normal"/>
        <w:spacing w:beforeAutospacing="1" w:afterAutospacing="1"/>
        <w:jc w:val="center"/>
        <w:rPr>
          <w:rFonts w:eastAsia="Times New Roman" w:cs="Times New Roman"/>
          <w:lang w:eastAsia="hr-HR"/>
        </w:rPr>
      </w:pPr>
      <w:r>
        <w:rPr>
          <w:rFonts w:eastAsia="Times New Roman" w:cs="Times New Roman"/>
          <w:lang w:eastAsia="hr-HR"/>
        </w:rPr>
        <w:t xml:space="preserve">e-mail: </w:t>
      </w:r>
      <w:hyperlink r:id="rId3">
        <w:r>
          <w:rPr>
            <w:rFonts w:eastAsia="Times New Roman" w:cs="Times New Roman"/>
            <w:color w:val="0000FF"/>
            <w:u w:val="single"/>
            <w:lang w:eastAsia="hr-HR"/>
          </w:rPr>
          <w:t>opcina.negoslavci@gmail.com</w:t>
        </w:r>
      </w:hyperlink>
      <w:r>
        <w:rPr>
          <w:rFonts w:eastAsia="Times New Roman" w:cs="Times New Roman"/>
          <w:lang w:eastAsia="hr-HR"/>
        </w:rPr>
        <w:t xml:space="preserve"> </w:t>
      </w:r>
    </w:p>
    <w:p>
      <w:pPr>
        <w:pStyle w:val="Normal"/>
        <w:spacing w:beforeAutospacing="1" w:afterAutospacing="1"/>
        <w:jc w:val="center"/>
        <w:rPr>
          <w:rFonts w:eastAsia="Times New Roman" w:cs="Times New Roman"/>
          <w:lang w:eastAsia="hr-HR"/>
        </w:rPr>
      </w:pPr>
      <w:r>
        <w:rPr>
          <w:rFonts w:eastAsia="Times New Roman" w:cs="Times New Roman"/>
          <w:lang w:eastAsia="hr-HR"/>
        </w:rPr>
      </w:r>
    </w:p>
    <w:p>
      <w:pPr>
        <w:pStyle w:val="Normal"/>
        <w:spacing w:beforeAutospacing="1" w:afterAutospacing="1"/>
        <w:jc w:val="center"/>
        <w:rPr>
          <w:rFonts w:eastAsia="Times New Roman" w:cs="Times New Roman"/>
          <w:lang w:eastAsia="hr-HR"/>
        </w:rPr>
      </w:pPr>
      <w:r>
        <w:rPr>
          <w:rFonts w:eastAsia="Times New Roman" w:cs="Times New Roman"/>
          <w:b/>
          <w:bCs/>
          <w:lang w:eastAsia="hr-HR"/>
        </w:rPr>
        <w:t>Izlazi prema potrebi</w:t>
      </w:r>
    </w:p>
    <w:p>
      <w:pPr>
        <w:pStyle w:val="Normal"/>
        <w:spacing w:beforeAutospacing="1" w:afterAutospacing="1"/>
        <w:jc w:val="center"/>
        <w:rPr>
          <w:rFonts w:eastAsia="Times New Roman" w:cs="Times New Roman"/>
          <w:lang w:eastAsia="hr-HR"/>
        </w:rPr>
      </w:pPr>
      <w:r>
        <w:rPr>
          <w:rFonts w:eastAsia="Times New Roman" w:cs="Times New Roman"/>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t>KAZALO</w:t>
      </w:r>
    </w:p>
    <w:p>
      <w:pPr>
        <w:pStyle w:val="Normal"/>
        <w:jc w:val="center"/>
        <w:rPr>
          <w:b/>
          <w:b/>
          <w:bCs/>
        </w:rPr>
      </w:pPr>
      <w:r>
        <w:rPr>
          <w:b/>
          <w:bCs/>
        </w:rPr>
        <w:t>AKTI OPĆINSKOG NAČELNIKA</w:t>
      </w:r>
    </w:p>
    <w:p>
      <w:pPr>
        <w:pStyle w:val="Normal"/>
        <w:rPr>
          <w:b w:val="false"/>
          <w:b w:val="false"/>
        </w:rPr>
      </w:pPr>
      <w:r>
        <w:rPr>
          <w:rFonts w:eastAsia="Times New Roman" w:cs="Times New Roman"/>
          <w:b w:val="false"/>
          <w:bCs w:val="false"/>
          <w:lang w:eastAsia="hr-HR"/>
        </w:rPr>
        <w:t>Odluka o isplati jednokratnih novčanih pomoći umirovljenicima sa prebivalištem na području Općine Negoslavci ............................................................................................................................4</w:t>
      </w:r>
    </w:p>
    <w:p>
      <w:pPr>
        <w:pStyle w:val="Normal"/>
        <w:rPr>
          <w:b w:val="false"/>
          <w:b w:val="false"/>
        </w:rPr>
      </w:pPr>
      <w:r>
        <w:rPr>
          <w:rFonts w:eastAsia="Times New Roman" w:cs="Times New Roman"/>
          <w:b w:val="false"/>
          <w:bCs w:val="false"/>
          <w:lang w:eastAsia="hr-HR"/>
        </w:rPr>
        <w:t xml:space="preserve">Izmjene i dopune Plana javne nabave za 2024. godinu </w:t>
      </w:r>
      <w:r>
        <w:rPr>
          <w:rFonts w:eastAsia="Times New Roman" w:cs="Times New Roman"/>
          <w:b w:val="false"/>
          <w:bCs w:val="false"/>
          <w:lang w:eastAsia="hr-HR"/>
        </w:rPr>
        <w:t>.....................................................................</w:t>
      </w:r>
      <w:r>
        <w:rPr>
          <w:rFonts w:eastAsia="Times New Roman" w:cs="Times New Roman"/>
          <w:b w:val="false"/>
          <w:bCs w:val="false"/>
          <w:lang w:eastAsia="hr-HR"/>
        </w:rPr>
        <w:t>5</w:t>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jc w:val="center"/>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rPr>
          <w:b w:val="false"/>
          <w:b w:val="false"/>
        </w:rPr>
      </w:pPr>
      <w:r>
        <w:rPr>
          <w:b w:val="false"/>
        </w:rPr>
      </w:r>
    </w:p>
    <w:p>
      <w:pPr>
        <w:pStyle w:val="Normal"/>
        <w:jc w:val="center"/>
        <w:rPr>
          <w:rFonts w:eastAsia="Times New Roman" w:cs="Times New Roman"/>
          <w:b/>
          <w:b/>
          <w:lang w:eastAsia="hr-HR"/>
        </w:rPr>
      </w:pPr>
      <w:r>
        <w:rPr>
          <w:rFonts w:eastAsia="Times New Roman" w:cs="Times New Roman"/>
          <w:b/>
          <w:lang w:eastAsia="hr-HR"/>
        </w:rPr>
      </w:r>
    </w:p>
    <w:p>
      <w:pPr>
        <w:pStyle w:val="Normal"/>
        <w:jc w:val="center"/>
        <w:rPr>
          <w:rFonts w:eastAsia="Times New Roman" w:cs="Times New Roman"/>
          <w:b/>
          <w:b/>
          <w:lang w:eastAsia="hr-HR"/>
        </w:rPr>
      </w:pPr>
      <w:r>
        <w:rPr>
          <w:rFonts w:eastAsia="Times New Roman" w:cs="Times New Roman"/>
          <w:b/>
          <w:lang w:eastAsia="hr-H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numPr>
          <w:ilvl w:val="0"/>
          <w:numId w:val="0"/>
        </w:numPr>
        <w:bidi w:val="0"/>
        <w:ind w:left="0" w:hanging="0"/>
        <w:jc w:val="both"/>
        <w:rPr>
          <w:rFonts w:ascii="Liberation Serif" w:hAnsi="Liberation Serif"/>
        </w:rPr>
      </w:pPr>
      <w:r>
        <w:rPr/>
      </w:r>
    </w:p>
    <w:p>
      <w:pPr>
        <w:pStyle w:val="Normal"/>
        <w:widowControl w:val="false"/>
        <w:numPr>
          <w:ilvl w:val="0"/>
          <w:numId w:val="0"/>
        </w:numPr>
        <w:ind w:left="0" w:hanging="0"/>
        <w:outlineLvl w:val="0"/>
        <w:rPr>
          <w:rFonts w:eastAsia="Lucida Sans Unicode" w:cs="Times New Roman"/>
          <w:b/>
          <w:b/>
          <w:u w:val="single"/>
          <w:lang w:val="de-DE" w:eastAsia="ar-SA"/>
        </w:rPr>
      </w:pPr>
      <w:r>
        <w:rPr>
          <w:rFonts w:eastAsia="Lucida Sans Unicode" w:cs="Times New Roman"/>
          <w:b/>
          <w:sz w:val="24"/>
          <w:szCs w:val="24"/>
          <w:u w:val="single"/>
          <w:lang w:val="de-DE" w:eastAsia="ar-SA"/>
        </w:rPr>
        <w:t xml:space="preserve">AKTI OPĆINSKOG </w:t>
      </w:r>
      <w:r>
        <w:rPr>
          <w:rFonts w:eastAsia="Lucida Sans Unicode" w:cs="Times New Roman"/>
          <w:b/>
          <w:sz w:val="24"/>
          <w:szCs w:val="24"/>
          <w:u w:val="single"/>
          <w:lang w:val="de-DE" w:eastAsia="ar-SA"/>
        </w:rPr>
        <w:t>NAČELNIKA</w:t>
      </w:r>
    </w:p>
    <w:p>
      <w:pPr>
        <w:pStyle w:val="Normal"/>
        <w:rPr>
          <w:rFonts w:ascii="Times New Roman" w:hAnsi="Times New Roman"/>
          <w:b/>
          <w:b/>
          <w:szCs w:val="24"/>
        </w:rPr>
      </w:pPr>
      <w:r>
        <w:rPr>
          <w:rFonts w:cs="Arial"/>
          <w:sz w:val="22"/>
          <w:szCs w:val="22"/>
        </w:rPr>
      </w:r>
    </w:p>
    <w:p>
      <w:pPr>
        <w:pStyle w:val="Normal"/>
        <w:ind w:firstLine="708"/>
        <w:rPr>
          <w:rFonts w:ascii="Times New Roman" w:hAnsi="Times New Roman"/>
          <w:szCs w:val="24"/>
        </w:rPr>
      </w:pPr>
      <w:r>
        <w:rPr>
          <w:rFonts w:ascii="Times New Roman" w:hAnsi="Times New Roman"/>
          <w:szCs w:val="24"/>
        </w:rPr>
        <w:t>Na temelju čl. 32. st.2. Statuta Općine Negoslavci (Službeni glasnik Općine Negoslavci br. 1/21 i 7/23) načelnik Općine Negoslavci dana 09.05.2024.godine donosi</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b/>
          <w:b/>
          <w:szCs w:val="24"/>
        </w:rPr>
      </w:pPr>
      <w:r>
        <w:rPr>
          <w:rFonts w:ascii="Times New Roman" w:hAnsi="Times New Roman"/>
          <w:b/>
          <w:szCs w:val="24"/>
        </w:rPr>
        <w:t>O D L U K U</w:t>
      </w:r>
    </w:p>
    <w:p>
      <w:pPr>
        <w:pStyle w:val="Normal"/>
        <w:jc w:val="center"/>
        <w:rPr>
          <w:rFonts w:ascii="Times New Roman" w:hAnsi="Times New Roman"/>
          <w:b/>
          <w:b/>
          <w:szCs w:val="24"/>
        </w:rPr>
      </w:pPr>
      <w:bookmarkStart w:id="0" w:name="_Hlk101430391"/>
      <w:r>
        <w:rPr>
          <w:rFonts w:ascii="Times New Roman" w:hAnsi="Times New Roman"/>
          <w:b/>
          <w:szCs w:val="24"/>
        </w:rPr>
        <w:t xml:space="preserve">o isplati jednokratnih novčanih pomoći umirovljenicima sa prebivalištem </w:t>
      </w:r>
    </w:p>
    <w:p>
      <w:pPr>
        <w:pStyle w:val="Normal"/>
        <w:jc w:val="center"/>
        <w:rPr>
          <w:rFonts w:ascii="Times New Roman" w:hAnsi="Times New Roman"/>
          <w:b/>
          <w:b/>
          <w:szCs w:val="24"/>
        </w:rPr>
      </w:pPr>
      <w:r>
        <w:rPr>
          <w:rFonts w:ascii="Times New Roman" w:hAnsi="Times New Roman"/>
          <w:b/>
          <w:szCs w:val="24"/>
        </w:rPr>
        <w:t>na području Općine Negoslavci</w:t>
      </w:r>
    </w:p>
    <w:p>
      <w:pPr>
        <w:pStyle w:val="Normal"/>
        <w:jc w:val="center"/>
        <w:rPr>
          <w:rFonts w:ascii="Times New Roman" w:hAnsi="Times New Roman"/>
          <w:b/>
          <w:b/>
          <w:szCs w:val="24"/>
        </w:rPr>
      </w:pPr>
      <w:r>
        <w:rPr>
          <w:rFonts w:ascii="Times New Roman" w:hAnsi="Times New Roman"/>
          <w:b/>
          <w:szCs w:val="24"/>
        </w:rPr>
      </w:r>
    </w:p>
    <w:p>
      <w:pPr>
        <w:pStyle w:val="Normal"/>
        <w:jc w:val="center"/>
        <w:rPr>
          <w:rFonts w:ascii="Times New Roman" w:hAnsi="Times New Roman"/>
          <w:b/>
          <w:b/>
          <w:szCs w:val="24"/>
        </w:rPr>
      </w:pPr>
      <w:bookmarkStart w:id="1" w:name="_Hlk101430391"/>
      <w:r>
        <w:rPr>
          <w:rFonts w:ascii="Times New Roman" w:hAnsi="Times New Roman"/>
          <w:b/>
          <w:szCs w:val="24"/>
        </w:rPr>
        <w:t>Članak 1.</w:t>
      </w:r>
      <w:bookmarkEnd w:id="1"/>
    </w:p>
    <w:p>
      <w:pPr>
        <w:pStyle w:val="Normal"/>
        <w:ind w:firstLine="708"/>
        <w:rPr>
          <w:rFonts w:ascii="Times New Roman" w:hAnsi="Times New Roman"/>
          <w:szCs w:val="24"/>
        </w:rPr>
      </w:pPr>
      <w:r>
        <w:rPr>
          <w:rFonts w:ascii="Times New Roman" w:hAnsi="Times New Roman"/>
          <w:szCs w:val="24"/>
        </w:rPr>
        <w:t>U proračunu Općine Negoslavci za 2024 godinu, Programu javnih potreba u socijalnoj skrbi Općine Negoslavci, osigurana su novčana sredstva Jednokratne pomoći umirovljenicima a koje će se isplatiti kao jednokratna novčana pomoć umirovljenicima (dalje: jednokratna pomoć) sa prebivalištem na području Općine Negoslavci.</w:t>
      </w:r>
    </w:p>
    <w:p>
      <w:pPr>
        <w:pStyle w:val="Normal"/>
        <w:ind w:firstLine="708"/>
        <w:rPr>
          <w:rFonts w:ascii="Times New Roman" w:hAnsi="Times New Roman"/>
          <w:szCs w:val="24"/>
        </w:rPr>
      </w:pPr>
      <w:r>
        <w:rPr>
          <w:rFonts w:ascii="Times New Roman" w:hAnsi="Times New Roman"/>
          <w:szCs w:val="24"/>
        </w:rPr>
      </w:r>
    </w:p>
    <w:p>
      <w:pPr>
        <w:pStyle w:val="Normal"/>
        <w:jc w:val="center"/>
        <w:rPr>
          <w:rFonts w:ascii="Times New Roman" w:hAnsi="Times New Roman"/>
          <w:b/>
          <w:b/>
          <w:bCs/>
          <w:szCs w:val="24"/>
        </w:rPr>
      </w:pPr>
      <w:r>
        <w:rPr>
          <w:rFonts w:ascii="Times New Roman" w:hAnsi="Times New Roman"/>
          <w:b/>
          <w:bCs/>
          <w:szCs w:val="24"/>
        </w:rPr>
        <w:t>Članak 2.</w:t>
      </w:r>
    </w:p>
    <w:p>
      <w:pPr>
        <w:pStyle w:val="Normal"/>
        <w:ind w:firstLine="708"/>
        <w:rPr>
          <w:rFonts w:ascii="Times New Roman" w:hAnsi="Times New Roman"/>
          <w:szCs w:val="24"/>
        </w:rPr>
      </w:pPr>
      <w:r>
        <w:rPr>
          <w:rFonts w:ascii="Times New Roman" w:hAnsi="Times New Roman"/>
          <w:szCs w:val="24"/>
        </w:rPr>
        <w:t>Isplata jednokratne pomoći vršit će se gotovinski, putem poštanskih uplatnica HP - hrvatske pošte d.d., u vremenu od  01.06. do 15.06.2024. godine.</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b/>
          <w:b/>
          <w:bCs/>
          <w:szCs w:val="24"/>
        </w:rPr>
      </w:pPr>
      <w:r>
        <w:rPr>
          <w:rFonts w:ascii="Times New Roman" w:hAnsi="Times New Roman"/>
          <w:b/>
          <w:bCs/>
          <w:szCs w:val="24"/>
        </w:rPr>
        <w:t>Članak 3.</w:t>
      </w:r>
    </w:p>
    <w:p>
      <w:pPr>
        <w:pStyle w:val="Normal"/>
        <w:ind w:firstLine="708"/>
        <w:rPr>
          <w:rFonts w:ascii="Times New Roman" w:hAnsi="Times New Roman"/>
          <w:szCs w:val="24"/>
        </w:rPr>
      </w:pPr>
      <w:r>
        <w:rPr>
          <w:rFonts w:ascii="Times New Roman" w:hAnsi="Times New Roman"/>
          <w:szCs w:val="24"/>
        </w:rPr>
        <w:t>Jednokratne pomoći se isplaćuju temeljem popisa umirovljenika Hrvatskog zavoda za mirovinsko i invalidsko osiguranje po slijedećim kriterijima:</w:t>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center"/>
              <w:rPr>
                <w:rFonts w:ascii="Times New Roman" w:hAnsi="Times New Roman"/>
                <w:b/>
                <w:b/>
                <w:szCs w:val="24"/>
              </w:rPr>
            </w:pPr>
            <w:r>
              <w:rPr>
                <w:rFonts w:ascii="Times New Roman" w:hAnsi="Times New Roman"/>
                <w:b/>
                <w:kern w:val="0"/>
                <w:szCs w:val="24"/>
                <w:lang w:val="hr-HR" w:bidi="ar-SA"/>
              </w:rPr>
              <w:t>VISINA MIROVINE</w:t>
            </w:r>
          </w:p>
          <w:p>
            <w:pPr>
              <w:pStyle w:val="Normal"/>
              <w:widowControl/>
              <w:spacing w:before="0" w:after="0"/>
              <w:jc w:val="center"/>
              <w:rPr>
                <w:rFonts w:ascii="Times New Roman" w:hAnsi="Times New Roman"/>
                <w:b/>
                <w:b/>
                <w:szCs w:val="24"/>
              </w:rPr>
            </w:pPr>
            <w:r>
              <w:rPr>
                <w:rFonts w:ascii="Times New Roman" w:hAnsi="Times New Roman"/>
                <w:b/>
                <w:kern w:val="0"/>
                <w:szCs w:val="24"/>
                <w:lang w:val="hr-HR" w:bidi="ar-SA"/>
              </w:rPr>
              <w:t>(u eurima)</w:t>
            </w:r>
          </w:p>
        </w:tc>
        <w:tc>
          <w:tcPr>
            <w:tcW w:w="4530" w:type="dxa"/>
            <w:tcBorders/>
          </w:tcPr>
          <w:p>
            <w:pPr>
              <w:pStyle w:val="Normal"/>
              <w:widowControl/>
              <w:spacing w:before="0" w:after="0"/>
              <w:jc w:val="center"/>
              <w:rPr>
                <w:rFonts w:ascii="Times New Roman" w:hAnsi="Times New Roman"/>
                <w:b/>
                <w:b/>
                <w:szCs w:val="24"/>
              </w:rPr>
            </w:pPr>
            <w:r>
              <w:rPr>
                <w:rFonts w:ascii="Times New Roman" w:hAnsi="Times New Roman"/>
                <w:b/>
                <w:kern w:val="0"/>
                <w:szCs w:val="24"/>
                <w:lang w:val="hr-HR" w:bidi="ar-SA"/>
              </w:rPr>
              <w:t>IZNOS JEDNOKRATNE POMOĆI</w:t>
            </w:r>
          </w:p>
          <w:p>
            <w:pPr>
              <w:pStyle w:val="Normal"/>
              <w:widowControl/>
              <w:spacing w:before="0" w:after="0"/>
              <w:jc w:val="center"/>
              <w:rPr>
                <w:rFonts w:ascii="Times New Roman" w:hAnsi="Times New Roman"/>
                <w:b/>
                <w:b/>
                <w:szCs w:val="24"/>
              </w:rPr>
            </w:pPr>
            <w:r>
              <w:rPr>
                <w:rFonts w:ascii="Times New Roman" w:hAnsi="Times New Roman"/>
                <w:b/>
                <w:kern w:val="0"/>
                <w:szCs w:val="24"/>
                <w:lang w:val="hr-HR" w:bidi="ar-SA"/>
              </w:rPr>
              <w:t>(u eurima)</w:t>
            </w:r>
          </w:p>
        </w:tc>
      </w:tr>
      <w:tr>
        <w:trPr/>
        <w:tc>
          <w:tcPr>
            <w:tcW w:w="4531"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do 300,00</w:t>
            </w:r>
          </w:p>
        </w:tc>
        <w:tc>
          <w:tcPr>
            <w:tcW w:w="4530"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50,00</w:t>
            </w:r>
          </w:p>
        </w:tc>
      </w:tr>
      <w:tr>
        <w:trPr/>
        <w:tc>
          <w:tcPr>
            <w:tcW w:w="4531"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od 300,01 do 400,00</w:t>
            </w:r>
          </w:p>
        </w:tc>
        <w:tc>
          <w:tcPr>
            <w:tcW w:w="4530"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40,00</w:t>
            </w:r>
          </w:p>
        </w:tc>
      </w:tr>
      <w:tr>
        <w:trPr/>
        <w:tc>
          <w:tcPr>
            <w:tcW w:w="4531"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više od 400,01</w:t>
            </w:r>
          </w:p>
        </w:tc>
        <w:tc>
          <w:tcPr>
            <w:tcW w:w="4530" w:type="dxa"/>
            <w:tcBorders/>
          </w:tcPr>
          <w:p>
            <w:pPr>
              <w:pStyle w:val="Normal"/>
              <w:widowControl/>
              <w:spacing w:before="0" w:after="0"/>
              <w:jc w:val="center"/>
              <w:rPr>
                <w:rFonts w:ascii="Times New Roman" w:hAnsi="Times New Roman"/>
                <w:szCs w:val="24"/>
              </w:rPr>
            </w:pPr>
            <w:r>
              <w:rPr>
                <w:rFonts w:ascii="Times New Roman" w:hAnsi="Times New Roman"/>
                <w:kern w:val="0"/>
                <w:szCs w:val="24"/>
                <w:lang w:val="hr-HR" w:bidi="ar-SA"/>
              </w:rPr>
              <w:t>30,00</w:t>
            </w:r>
          </w:p>
        </w:tc>
      </w:tr>
    </w:tbl>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b/>
          <w:b/>
          <w:bCs/>
          <w:szCs w:val="24"/>
        </w:rPr>
      </w:pPr>
      <w:r>
        <w:rPr>
          <w:rFonts w:ascii="Times New Roman" w:hAnsi="Times New Roman"/>
          <w:b/>
          <w:bCs/>
          <w:szCs w:val="24"/>
        </w:rPr>
        <w:t>Članak 4.</w:t>
      </w:r>
    </w:p>
    <w:p>
      <w:pPr>
        <w:pStyle w:val="Normal"/>
        <w:ind w:firstLine="708"/>
        <w:rPr>
          <w:rFonts w:ascii="Times New Roman" w:hAnsi="Times New Roman"/>
          <w:szCs w:val="24"/>
        </w:rPr>
      </w:pPr>
      <w:r>
        <w:rPr>
          <w:rFonts w:ascii="Times New Roman" w:hAnsi="Times New Roman"/>
          <w:szCs w:val="24"/>
        </w:rPr>
        <w:t>Svi osobni podaci koji se u okviru ovog postupka obrađuju u smislu Opće uredbe o zaštiti podataka smatraju se poslovnom tajnom  te se ne smiju ni na koji način obrađivati izvan svrhe za koju su prikupljeni, odnosno bez zakonske osnove. Općina se obvezuje čuvati povjerljivost svih osobnih podataka te da će iste osobne podatke koristiti isključivo u svrhu isplata jednokratnih pomoći, a nakon ostvarenja propisane svrhe svi osobni podaci će se brisati.</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b/>
          <w:b/>
          <w:bCs/>
          <w:szCs w:val="24"/>
        </w:rPr>
      </w:pPr>
      <w:r>
        <w:rPr>
          <w:rFonts w:ascii="Times New Roman" w:hAnsi="Times New Roman"/>
          <w:b/>
          <w:bCs/>
          <w:szCs w:val="24"/>
        </w:rPr>
        <w:t>Članak 5.</w:t>
      </w:r>
    </w:p>
    <w:p>
      <w:pPr>
        <w:pStyle w:val="Normal"/>
        <w:ind w:firstLine="708"/>
        <w:jc w:val="left"/>
        <w:rPr>
          <w:rFonts w:ascii="Times New Roman" w:hAnsi="Times New Roman"/>
          <w:szCs w:val="24"/>
        </w:rPr>
      </w:pPr>
      <w:r>
        <w:rPr>
          <w:rFonts w:ascii="Times New Roman" w:hAnsi="Times New Roman"/>
          <w:szCs w:val="24"/>
        </w:rPr>
        <w:t>Za realizaciju odredaba ove Odluke zadužuje se Jedinstveni upravni odjel Općine Negoslavci.</w:t>
      </w:r>
    </w:p>
    <w:p>
      <w:pPr>
        <w:pStyle w:val="Normal"/>
        <w:jc w:val="left"/>
        <w:rPr>
          <w:rFonts w:ascii="Times New Roman" w:hAnsi="Times New Roman"/>
          <w:szCs w:val="24"/>
        </w:rPr>
      </w:pPr>
      <w:r>
        <w:rPr>
          <w:rFonts w:ascii="Times New Roman" w:hAnsi="Times New Roman"/>
          <w:b/>
          <w:bCs/>
          <w:szCs w:val="24"/>
        </w:rPr>
      </w:r>
    </w:p>
    <w:p>
      <w:pPr>
        <w:pStyle w:val="Normal"/>
        <w:jc w:val="center"/>
        <w:rPr>
          <w:rFonts w:ascii="Times New Roman" w:hAnsi="Times New Roman"/>
          <w:b/>
          <w:b/>
          <w:bCs/>
          <w:szCs w:val="24"/>
        </w:rPr>
      </w:pPr>
      <w:r>
        <w:rPr>
          <w:rFonts w:ascii="Times New Roman" w:hAnsi="Times New Roman"/>
          <w:b/>
          <w:bCs/>
          <w:szCs w:val="24"/>
        </w:rPr>
        <w:t>Članak 6.</w:t>
      </w:r>
    </w:p>
    <w:p>
      <w:pPr>
        <w:pStyle w:val="Normal"/>
        <w:ind w:firstLine="708"/>
        <w:rPr>
          <w:rFonts w:ascii="Times New Roman" w:hAnsi="Times New Roman"/>
          <w:szCs w:val="24"/>
        </w:rPr>
      </w:pPr>
      <w:r>
        <w:rPr>
          <w:rFonts w:ascii="Times New Roman" w:hAnsi="Times New Roman"/>
          <w:szCs w:val="24"/>
        </w:rPr>
        <w:t>Ova Odluka stupa na snagu narednog dana od dana donošenja, a objavit će se u Službenom glasniku Općine Negoslavci.</w:t>
      </w:r>
    </w:p>
    <w:p>
      <w:pPr>
        <w:pStyle w:val="Normal"/>
        <w:rPr>
          <w:rFonts w:ascii="Times New Roman" w:hAnsi="Times New Roman"/>
          <w:szCs w:val="24"/>
        </w:rPr>
      </w:pPr>
      <w:r>
        <w:rPr>
          <w:rFonts w:ascii="Times New Roman" w:hAnsi="Times New Roman"/>
          <w:szCs w:val="24"/>
        </w:rPr>
      </w:r>
    </w:p>
    <w:p>
      <w:pPr>
        <w:pStyle w:val="Normal"/>
        <w:rPr>
          <w:rFonts w:ascii="Times New Roman" w:hAnsi="Times New Roman"/>
          <w:szCs w:val="24"/>
        </w:rPr>
      </w:pPr>
      <w:r>
        <w:rPr>
          <w:rFonts w:ascii="Times New Roman" w:hAnsi="Times New Roman"/>
          <w:szCs w:val="24"/>
        </w:rPr>
        <w:t>KLASA: 551-01/24-01/01</w:t>
      </w:r>
    </w:p>
    <w:p>
      <w:pPr>
        <w:pStyle w:val="Normal"/>
        <w:rPr>
          <w:rFonts w:ascii="Times New Roman" w:hAnsi="Times New Roman"/>
          <w:szCs w:val="24"/>
        </w:rPr>
      </w:pPr>
      <w:r>
        <w:rPr>
          <w:rFonts w:ascii="Times New Roman" w:hAnsi="Times New Roman"/>
          <w:szCs w:val="24"/>
        </w:rPr>
        <w:t>URBROJ: 2196-19-01-24-01</w:t>
      </w:r>
    </w:p>
    <w:p>
      <w:pPr>
        <w:pStyle w:val="Normal"/>
        <w:rPr>
          <w:rFonts w:ascii="Times New Roman" w:hAnsi="Times New Roman"/>
          <w:szCs w:val="24"/>
        </w:rPr>
      </w:pPr>
      <w:r>
        <w:rPr>
          <w:rFonts w:ascii="Times New Roman" w:hAnsi="Times New Roman"/>
          <w:szCs w:val="24"/>
        </w:rPr>
        <w:t>Negoslavci, 09.05.2024. godine</w:t>
      </w:r>
    </w:p>
    <w:p>
      <w:pPr>
        <w:pStyle w:val="Normal"/>
        <w:jc w:val="center"/>
        <w:rPr/>
      </w:pPr>
      <w:r>
        <w:rPr>
          <w:rFonts w:ascii="Times New Roman" w:hAnsi="Times New Roman"/>
          <w:b/>
          <w:bCs/>
          <w:szCs w:val="24"/>
        </w:rPr>
        <w:t>OPĆINSKI NAČELNIK</w:t>
      </w:r>
    </w:p>
    <w:p>
      <w:pPr>
        <w:pStyle w:val="Normal"/>
        <w:jc w:val="center"/>
        <w:rPr/>
      </w:pPr>
      <w:r>
        <w:rPr>
          <w:rFonts w:ascii="Times New Roman" w:hAnsi="Times New Roman"/>
          <w:szCs w:val="24"/>
        </w:rPr>
        <w:t>Dušan Jeckov</w:t>
      </w:r>
    </w:p>
    <w:p>
      <w:pPr>
        <w:sectPr>
          <w:headerReference w:type="even" r:id="rId5"/>
          <w:headerReference w:type="default" r:id="rId6"/>
          <w:type w:val="nextPage"/>
          <w:pgSz w:w="11906" w:h="16838"/>
          <w:pgMar w:left="1134" w:right="1134" w:gutter="0" w:header="1134" w:top="1968" w:footer="0" w:bottom="1134"/>
          <w:pgNumType w:fmt="decimal"/>
          <w:formProt w:val="false"/>
          <w:textDirection w:val="lrTb"/>
          <w:docGrid w:type="default" w:linePitch="100" w:charSpace="0"/>
        </w:sectPr>
        <w:pStyle w:val="Normal"/>
        <w:numPr>
          <w:ilvl w:val="0"/>
          <w:numId w:val="0"/>
        </w:numPr>
        <w:bidi w:val="0"/>
        <w:ind w:left="0" w:hanging="0"/>
        <w:jc w:val="center"/>
        <w:rPr>
          <w:rFonts w:ascii="Liberation Serif" w:hAnsi="Liberation Serif"/>
        </w:rPr>
      </w:pPr>
      <w:r>
        <w:rPr/>
        <w:drawing>
          <wp:inline distT="0" distB="0" distL="0" distR="0">
            <wp:extent cx="5761355" cy="36830"/>
            <wp:effectExtent l="0" t="0" r="0" b="0"/>
            <wp:docPr id="2" name="Slik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1" descr=""/>
                    <pic:cNvPicPr>
                      <a:picLocks noChangeAspect="1" noChangeArrowheads="1"/>
                    </pic:cNvPicPr>
                  </pic:nvPicPr>
                  <pic:blipFill>
                    <a:blip r:embed="rId4"/>
                    <a:stretch>
                      <a:fillRect/>
                    </a:stretch>
                  </pic:blipFill>
                  <pic:spPr bwMode="auto">
                    <a:xfrm>
                      <a:off x="0" y="0"/>
                      <a:ext cx="5761355" cy="36830"/>
                    </a:xfrm>
                    <a:prstGeom prst="rect">
                      <a:avLst/>
                    </a:prstGeom>
                  </pic:spPr>
                </pic:pic>
              </a:graphicData>
            </a:graphic>
          </wp:inline>
        </w:drawing>
      </w:r>
    </w:p>
    <w:p>
      <w:pPr>
        <w:pStyle w:val="Tijeloteksta21"/>
        <w:bidi w:val="0"/>
        <w:spacing w:lineRule="auto" w:line="240" w:before="0" w:after="0"/>
        <w:jc w:val="both"/>
        <w:rPr/>
      </w:pPr>
      <w:r>
        <w:rPr/>
        <w:tab/>
        <w:t>Na temelju članka 28. stavka 1. Zakona o javnoj nabavi (''Narodne novine'' broj 120/16 i 114/22), članka 3., stavka 1. Pravilnika o planu nabave, registru ugovora, prethodnom savjetovanju i analizi tržišta u javnoj nabavi („Narodne novine“ broj 101/17 i 144/20), u skladu sa Proračunom Općine Negoslavci za 2024. godinu i članka 32., stavka 2.</w:t>
      </w:r>
      <w:r>
        <w:rPr>
          <w:spacing w:val="-4"/>
        </w:rPr>
        <w:t>, točke 2. Statuta Općine Negoslavci („Službeni glasnik Općine Negoslavci“ broj 01/21 i 7/23</w:t>
      </w:r>
      <w:r>
        <w:rPr/>
        <w:t>), Općinski načelnik Općine Negoslavci dana</w:t>
      </w:r>
      <w:r>
        <w:rPr>
          <w:color w:val="000000"/>
        </w:rPr>
        <w:t xml:space="preserve"> 14.05</w:t>
      </w:r>
      <w:r>
        <w:rPr/>
        <w:t>.2024. godine donosi</w:t>
      </w:r>
    </w:p>
    <w:p>
      <w:pPr>
        <w:pStyle w:val="Normal"/>
        <w:bidi w:val="0"/>
        <w:jc w:val="left"/>
        <w:rPr>
          <w:b/>
          <w:b/>
          <w:bCs/>
        </w:rPr>
      </w:pPr>
      <w:r>
        <w:rPr>
          <w:b/>
          <w:bCs/>
        </w:rPr>
      </w:r>
    </w:p>
    <w:p>
      <w:pPr>
        <w:pStyle w:val="Stilnaslova1"/>
        <w:numPr>
          <w:ilvl w:val="0"/>
          <w:numId w:val="2"/>
        </w:numPr>
        <w:bidi w:val="0"/>
        <w:ind w:left="0" w:hanging="432"/>
        <w:jc w:val="center"/>
        <w:rPr>
          <w:b/>
          <w:b/>
          <w:bCs/>
        </w:rPr>
      </w:pPr>
      <w:r>
        <w:rPr>
          <w:b/>
          <w:bCs/>
          <w:sz w:val="24"/>
        </w:rPr>
        <w:t xml:space="preserve">  </w:t>
      </w:r>
      <w:r>
        <w:rPr>
          <w:b/>
          <w:bCs/>
          <w:sz w:val="24"/>
        </w:rPr>
        <w:t>Izmjene i dopune Plana javne nabave za 2024. godinu</w:t>
      </w:r>
    </w:p>
    <w:p>
      <w:pPr>
        <w:pStyle w:val="Normal"/>
        <w:bidi w:val="0"/>
        <w:jc w:val="left"/>
        <w:rPr>
          <w:b/>
          <w:b/>
        </w:rPr>
      </w:pPr>
      <w:r>
        <w:rPr>
          <w:b/>
        </w:rPr>
      </w:r>
    </w:p>
    <w:p>
      <w:pPr>
        <w:pStyle w:val="Normal"/>
        <w:bidi w:val="0"/>
        <w:jc w:val="center"/>
        <w:rPr>
          <w:b/>
          <w:b/>
        </w:rPr>
      </w:pPr>
      <w:r>
        <w:rPr>
          <w:b/>
        </w:rPr>
        <w:t>Članak 1.</w:t>
      </w:r>
    </w:p>
    <w:p>
      <w:pPr>
        <w:pStyle w:val="Normal"/>
        <w:bidi w:val="0"/>
        <w:jc w:val="both"/>
        <w:rPr/>
      </w:pPr>
      <w:r>
        <w:rPr>
          <w:b/>
        </w:rPr>
        <w:tab/>
      </w:r>
      <w:r>
        <w:rPr>
          <w:b w:val="false"/>
          <w:bCs w:val="false"/>
        </w:rPr>
        <w:t>Ovim Izmjenama i dopunama Plana javne nabave za 2024. godinu mijenja se članak 1. Plana javne nabave („Slu</w:t>
      </w:r>
      <w:r>
        <w:rPr>
          <w:rFonts w:cs="Calibri" w:ascii="Calibri" w:hAnsi="Calibri"/>
          <w:b w:val="false"/>
          <w:bCs w:val="false"/>
        </w:rPr>
        <w:t>ž</w:t>
      </w:r>
      <w:r>
        <w:rPr>
          <w:b w:val="false"/>
          <w:bCs w:val="false"/>
        </w:rPr>
        <w:t>beni glasnik Općine Negoslavci” broj 8/23) i glasi:</w:t>
      </w:r>
    </w:p>
    <w:p>
      <w:pPr>
        <w:pStyle w:val="Normal"/>
        <w:bidi w:val="0"/>
        <w:jc w:val="left"/>
        <w:rPr/>
      </w:pPr>
      <w:r>
        <w:rPr>
          <w:b w:val="false"/>
          <w:bCs w:val="false"/>
        </w:rPr>
        <w:tab/>
        <w:t>„Za 2024. godinu utvrđuje se nabava radova, usluga i roba kako slijedi</w:t>
      </w:r>
    </w:p>
    <w:p>
      <w:pPr>
        <w:pStyle w:val="Normal"/>
        <w:bidi w:val="0"/>
        <w:jc w:val="left"/>
        <w:rPr>
          <w:b/>
          <w:b/>
          <w:bCs w:val="false"/>
        </w:rPr>
      </w:pPr>
      <w:r>
        <w:rPr>
          <w:b/>
          <w:bCs w:val="false"/>
        </w:rPr>
      </w:r>
    </w:p>
    <w:tbl>
      <w:tblPr>
        <w:tblW w:w="15075" w:type="dxa"/>
        <w:jc w:val="left"/>
        <w:tblInd w:w="-459" w:type="dxa"/>
        <w:tblLayout w:type="fixed"/>
        <w:tblCellMar>
          <w:top w:w="0" w:type="dxa"/>
          <w:left w:w="108" w:type="dxa"/>
          <w:bottom w:w="0" w:type="dxa"/>
          <w:right w:w="108" w:type="dxa"/>
        </w:tblCellMar>
        <w:tblLook w:firstRow="0" w:noVBand="0" w:lastRow="0" w:firstColumn="0" w:lastColumn="0" w:noHBand="0" w:val="0000"/>
      </w:tblPr>
      <w:tblGrid>
        <w:gridCol w:w="1094"/>
        <w:gridCol w:w="2204"/>
        <w:gridCol w:w="1375"/>
        <w:gridCol w:w="1515"/>
        <w:gridCol w:w="1397"/>
        <w:gridCol w:w="1031"/>
        <w:gridCol w:w="1562"/>
        <w:gridCol w:w="1275"/>
        <w:gridCol w:w="1077"/>
        <w:gridCol w:w="1584"/>
        <w:gridCol w:w="959"/>
      </w:tblGrid>
      <w:tr>
        <w:trPr>
          <w:trHeight w:val="291" w:hRule="atLeast"/>
        </w:trPr>
        <w:tc>
          <w:tcPr>
            <w:tcW w:w="1094" w:type="dxa"/>
            <w:tcBorders>
              <w:top w:val="single" w:sz="4" w:space="0" w:color="000000"/>
              <w:left w:val="single" w:sz="4" w:space="0" w:color="000000"/>
              <w:bottom w:val="single" w:sz="4" w:space="0" w:color="000000"/>
            </w:tcBorders>
            <w:vAlign w:val="center"/>
          </w:tcPr>
          <w:p>
            <w:pPr>
              <w:pStyle w:val="Normal"/>
              <w:widowControl w:val="false"/>
              <w:bidi w:val="0"/>
              <w:jc w:val="center"/>
              <w:rPr>
                <w:b/>
                <w:b/>
                <w:sz w:val="22"/>
                <w:szCs w:val="22"/>
              </w:rPr>
            </w:pPr>
            <w:r>
              <w:rPr>
                <w:b/>
                <w:sz w:val="22"/>
                <w:szCs w:val="22"/>
              </w:rPr>
              <w:t>Evidencijski broj nabave</w:t>
            </w:r>
          </w:p>
        </w:tc>
        <w:tc>
          <w:tcPr>
            <w:tcW w:w="2204"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Predmet nabave</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CPV nabave</w:t>
            </w:r>
          </w:p>
        </w:tc>
        <w:tc>
          <w:tcPr>
            <w:tcW w:w="1515"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Procijenjena vrijednost</w:t>
            </w:r>
          </w:p>
          <w:p>
            <w:pPr>
              <w:pStyle w:val="Normal"/>
              <w:widowControl w:val="false"/>
              <w:bidi w:val="0"/>
              <w:jc w:val="center"/>
              <w:rPr>
                <w:rFonts w:ascii="Times New Roman" w:hAnsi="Times New Roman" w:cs="Times New Roman"/>
                <w:b/>
                <w:b/>
                <w:sz w:val="22"/>
                <w:szCs w:val="22"/>
              </w:rPr>
            </w:pPr>
            <w:r>
              <w:rPr>
                <w:rFonts w:cs="Times New Roman" w:ascii="Times New Roman" w:hAnsi="Times New Roman"/>
                <w:b/>
                <w:sz w:val="22"/>
                <w:szCs w:val="22"/>
              </w:rPr>
              <w:t>nabave u eurima (sa PDV)</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Vrsta postupka uključujući posebne režime nabave i jednostavnu nabavu</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Navod</w:t>
            </w:r>
          </w:p>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planira li se predmet nabave podijeliti na grupe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Navod sklapa li se ugovor, okvirni sporazum ili narudžbenica</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Navod financira li se ugovor ili okvirni sporazum iz fondova EU, ako su podaci o izvoru financiranja poznati prilikom izrade plana nabave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Planirani</w:t>
            </w:r>
          </w:p>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početak postupka</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Planirano trajanje ugovora ili okvirnog sporazuma</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bidi w:val="0"/>
              <w:snapToGrid w:val="false"/>
              <w:jc w:val="center"/>
              <w:rPr>
                <w:rFonts w:ascii="Times New Roman" w:hAnsi="Times New Roman" w:cs="Times New Roman"/>
                <w:b/>
                <w:b/>
                <w:sz w:val="22"/>
                <w:szCs w:val="22"/>
              </w:rPr>
            </w:pPr>
            <w:r>
              <w:rPr>
                <w:rFonts w:cs="Times New Roman" w:ascii="Times New Roman" w:hAnsi="Times New Roman"/>
                <w:b/>
                <w:sz w:val="22"/>
                <w:szCs w:val="22"/>
              </w:rPr>
              <w:t>Napomena</w:t>
            </w:r>
          </w:p>
        </w:tc>
      </w:tr>
      <w:tr>
        <w:trPr>
          <w:trHeight w:val="207" w:hRule="atLeast"/>
        </w:trPr>
        <w:tc>
          <w:tcPr>
            <w:tcW w:w="1094"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1/24</w:t>
            </w:r>
          </w:p>
        </w:tc>
        <w:tc>
          <w:tcPr>
            <w:tcW w:w="2204"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Premije osiguranja imovine</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66515200-5</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pPr>
            <w:r>
              <w:rPr/>
              <w:t xml:space="preserve">   </w:t>
            </w:r>
            <w:r>
              <w:rPr/>
              <w:t>3.000,00</w:t>
            </w:r>
          </w:p>
          <w:p>
            <w:pPr>
              <w:pStyle w:val="Normal"/>
              <w:widowControl w:val="false"/>
              <w:bidi w:val="0"/>
              <w:jc w:val="center"/>
              <w:rPr/>
            </w:pPr>
            <w:r>
              <w:rPr/>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 godina</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pPr>
            <w:r>
              <w:rPr/>
            </w:r>
          </w:p>
          <w:p>
            <w:pPr>
              <w:pStyle w:val="Normal"/>
              <w:widowControl w:val="false"/>
              <w:bidi w:val="0"/>
              <w:jc w:val="center"/>
              <w:rPr/>
            </w:pPr>
            <w:r>
              <w:rPr/>
            </w:r>
          </w:p>
          <w:p>
            <w:pPr>
              <w:pStyle w:val="Normal"/>
              <w:widowControl w:val="false"/>
              <w:bidi w:val="0"/>
              <w:jc w:val="center"/>
              <w:rPr/>
            </w:pPr>
            <w:r>
              <w:rPr/>
              <w:t>-</w:t>
            </w:r>
          </w:p>
        </w:tc>
      </w:tr>
      <w:tr>
        <w:trPr>
          <w:trHeight w:val="207" w:hRule="atLeast"/>
        </w:trPr>
        <w:tc>
          <w:tcPr>
            <w:tcW w:w="1094" w:type="dxa"/>
            <w:tcBorders>
              <w:left w:val="single" w:sz="4" w:space="0" w:color="000000"/>
              <w:bottom w:val="single" w:sz="4" w:space="0" w:color="000000"/>
            </w:tcBorders>
            <w:vAlign w:val="center"/>
          </w:tcPr>
          <w:p>
            <w:pPr>
              <w:pStyle w:val="Sadrajitablice"/>
              <w:widowControl w:val="false"/>
              <w:bidi w:val="0"/>
              <w:snapToGrid w:val="false"/>
              <w:jc w:val="center"/>
              <w:rPr/>
            </w:pPr>
            <w:r>
              <w:rPr/>
              <w:t>2/24</w:t>
            </w:r>
          </w:p>
        </w:tc>
        <w:tc>
          <w:tcPr>
            <w:tcW w:w="2204"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 xml:space="preserve">Energija – javna rasvjeta </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09310000-5</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16.000,00</w:t>
            </w:r>
          </w:p>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color w:val="000000"/>
              </w:rPr>
            </w:pPr>
            <w:r>
              <w:rPr>
                <w:rFonts w:cs="Times New Roman" w:ascii="Times New Roman" w:hAnsi="Times New Roman"/>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color w:val="000000"/>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snapToGrid w:val="false"/>
              <w:jc w:val="center"/>
              <w:rPr>
                <w:rFonts w:ascii="Times New Roman" w:hAnsi="Times New Roman" w:cs="Times New Roman"/>
                <w:b/>
                <w:b/>
              </w:rPr>
            </w:pPr>
            <w:r>
              <w:rPr>
                <w:rFonts w:cs="Times New Roman" w:ascii="Times New Roman" w:hAnsi="Times New Roman"/>
              </w:rPr>
              <w:t>-</w:t>
            </w:r>
          </w:p>
        </w:tc>
      </w:tr>
      <w:tr>
        <w:trPr>
          <w:trHeight w:val="207"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3/24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Plin – lož ulje</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09120000-6</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6.300,00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snapToGrid w:val="false"/>
              <w:jc w:val="center"/>
              <w:rPr>
                <w:rFonts w:ascii="Times New Roman" w:hAnsi="Times New Roman" w:cs="Times New Roman"/>
                <w:b/>
                <w:b/>
              </w:rPr>
            </w:pPr>
            <w:r>
              <w:rPr>
                <w:rFonts w:cs="Times New Roman" w:ascii="Times New Roman" w:hAnsi="Times New Roman"/>
              </w:rPr>
              <w:t>-</w:t>
            </w:r>
          </w:p>
        </w:tc>
      </w:tr>
      <w:tr>
        <w:trPr>
          <w:trHeight w:val="207"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4/24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 xml:space="preserve">Usluge telefona </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64212000-5</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4.000,00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snapToGrid w:val="false"/>
              <w:jc w:val="center"/>
              <w:rPr>
                <w:rFonts w:ascii="Times New Roman" w:hAnsi="Times New Roman" w:cs="Times New Roman"/>
                <w:b/>
                <w:b/>
              </w:rPr>
            </w:pPr>
            <w:r>
              <w:rPr>
                <w:rFonts w:cs="Times New Roman" w:ascii="Times New Roman" w:hAnsi="Times New Roman"/>
              </w:rPr>
              <w:t>-</w:t>
            </w:r>
          </w:p>
        </w:tc>
      </w:tr>
      <w:tr>
        <w:trPr>
          <w:trHeight w:val="536"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5/24</w:t>
            </w:r>
          </w:p>
        </w:tc>
        <w:tc>
          <w:tcPr>
            <w:tcW w:w="220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Usluge tek. i invest. održavanja građevinskih objekata</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44000000-0</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6.600,00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536"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6/24</w:t>
            </w:r>
          </w:p>
        </w:tc>
        <w:tc>
          <w:tcPr>
            <w:tcW w:w="2204" w:type="dxa"/>
            <w:tcBorders>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color w:val="000000"/>
              </w:rPr>
              <w:t>Tekuće održavanje cesta</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45233141-9</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7.300,00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color w:val="000000"/>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color w:val="000000"/>
              </w:rPr>
              <w:t>1/24</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p>
            <w:pPr>
              <w:pStyle w:val="Normal"/>
              <w:widowControl w:val="false"/>
              <w:bidi w:val="0"/>
              <w:snapToGrid w:val="false"/>
              <w:jc w:val="center"/>
              <w:rPr>
                <w:rFonts w:ascii="Times New Roman" w:hAnsi="Times New Roman" w:cs="Times New Roman"/>
              </w:rPr>
            </w:pPr>
            <w:r>
              <w:rPr>
                <w:rFonts w:cs="Times New Roman" w:ascii="Times New Roman" w:hAnsi="Times New Roman"/>
              </w:rPr>
            </w:r>
          </w:p>
        </w:tc>
      </w:tr>
      <w:tr>
        <w:trPr>
          <w:trHeight w:val="536"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7/24</w:t>
            </w:r>
          </w:p>
        </w:tc>
        <w:tc>
          <w:tcPr>
            <w:tcW w:w="220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color w:val="000000"/>
              </w:rPr>
            </w:pPr>
            <w:r>
              <w:rPr>
                <w:rFonts w:cs="Times New Roman" w:ascii="Times New Roman" w:hAnsi="Times New Roman"/>
              </w:rPr>
              <w:t xml:space="preserve">Usluge  tekuće investicijsko održavanje postrojenja i opreme </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color w:val="000000"/>
              </w:rPr>
            </w:pPr>
            <w:r>
              <w:rPr>
                <w:rFonts w:cs="Times New Roman" w:ascii="Times New Roman" w:hAnsi="Times New Roman"/>
              </w:rPr>
              <w:t>50100000-6</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color w:val="000000"/>
              </w:rPr>
            </w:pPr>
            <w:r>
              <w:rPr>
                <w:rFonts w:cs="Times New Roman" w:ascii="Times New Roman" w:hAnsi="Times New Roman"/>
              </w:rPr>
              <w:t>4.000,00</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Narudžbenica</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536" w:hRule="atLeast"/>
        </w:trPr>
        <w:tc>
          <w:tcPr>
            <w:tcW w:w="1094" w:type="dxa"/>
            <w:tcBorders>
              <w:left w:val="single" w:sz="4" w:space="0" w:color="000000"/>
              <w:bottom w:val="single" w:sz="4" w:space="0" w:color="000000"/>
            </w:tcBorders>
            <w:vAlign w:val="center"/>
          </w:tcPr>
          <w:p>
            <w:pPr>
              <w:pStyle w:val="Sadrajitablice"/>
              <w:widowControl w:val="false"/>
              <w:bidi w:val="0"/>
              <w:snapToGrid w:val="false"/>
              <w:jc w:val="center"/>
              <w:rPr/>
            </w:pPr>
            <w:r>
              <w:rPr/>
              <w:t>8/24</w:t>
            </w:r>
          </w:p>
        </w:tc>
        <w:tc>
          <w:tcPr>
            <w:tcW w:w="220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Čišćenja divljih deponija</w:t>
            </w:r>
          </w:p>
          <w:p>
            <w:pPr>
              <w:pStyle w:val="Sadrajitablice"/>
              <w:widowControl w:val="false"/>
              <w:bidi w:val="0"/>
              <w:snapToGrid w:val="false"/>
              <w:jc w:val="center"/>
              <w:rPr>
                <w:rFonts w:ascii="Times New Roman" w:hAnsi="Times New Roman" w:cs="Times New Roman"/>
                <w:color w:val="000000"/>
              </w:rPr>
            </w:pPr>
            <w:r>
              <w:rPr>
                <w:rFonts w:cs="Times New Roman" w:ascii="Times New Roman" w:hAnsi="Times New Roman"/>
                <w:color w:val="000000"/>
              </w:rPr>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90730000-3</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10.000,00</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Narudžbenica</w:t>
            </w:r>
          </w:p>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536" w:hRule="atLeast"/>
        </w:trPr>
        <w:tc>
          <w:tcPr>
            <w:tcW w:w="1094" w:type="dxa"/>
            <w:tcBorders>
              <w:left w:val="single" w:sz="4" w:space="0" w:color="000000"/>
              <w:bottom w:val="single" w:sz="4" w:space="0" w:color="000000"/>
            </w:tcBorders>
            <w:vAlign w:val="center"/>
          </w:tcPr>
          <w:p>
            <w:pPr>
              <w:pStyle w:val="Sadrajitablice"/>
              <w:widowControl w:val="false"/>
              <w:bidi w:val="0"/>
              <w:snapToGrid w:val="false"/>
              <w:jc w:val="center"/>
              <w:rPr/>
            </w:pPr>
            <w:r>
              <w:rPr/>
              <w:t>9/24</w:t>
            </w:r>
          </w:p>
        </w:tc>
        <w:tc>
          <w:tcPr>
            <w:tcW w:w="2204" w:type="dxa"/>
            <w:tcBorders>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Usluge tekućeg održavanja prijevoznih sredstava</w:t>
            </w:r>
          </w:p>
        </w:tc>
        <w:tc>
          <w:tcPr>
            <w:tcW w:w="137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50100000-6</w:t>
            </w:r>
          </w:p>
        </w:tc>
        <w:tc>
          <w:tcPr>
            <w:tcW w:w="1515"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3.500,00</w:t>
            </w:r>
          </w:p>
        </w:tc>
        <w:tc>
          <w:tcPr>
            <w:tcW w:w="139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t>Narudžbenica</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536" w:hRule="atLeast"/>
        </w:trPr>
        <w:tc>
          <w:tcPr>
            <w:tcW w:w="1094" w:type="dxa"/>
            <w:tcBorders>
              <w:left w:val="single" w:sz="4" w:space="0" w:color="000000"/>
              <w:bottom w:val="single" w:sz="4" w:space="0" w:color="000000"/>
            </w:tcBorders>
            <w:vAlign w:val="center"/>
          </w:tcPr>
          <w:p>
            <w:pPr>
              <w:pStyle w:val="Sadrajitablice"/>
              <w:widowControl w:val="false"/>
              <w:bidi w:val="0"/>
              <w:snapToGrid w:val="false"/>
              <w:jc w:val="center"/>
              <w:rPr/>
            </w:pPr>
            <w:r>
              <w:rPr/>
              <w:t>10/24</w:t>
            </w:r>
          </w:p>
        </w:tc>
        <w:tc>
          <w:tcPr>
            <w:tcW w:w="2204" w:type="dxa"/>
            <w:tcBorders>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Tekuće održavanje javnih površina</w:t>
            </w:r>
          </w:p>
        </w:tc>
        <w:tc>
          <w:tcPr>
            <w:tcW w:w="137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77310000-6</w:t>
            </w:r>
          </w:p>
        </w:tc>
        <w:tc>
          <w:tcPr>
            <w:tcW w:w="1515"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15.000,00</w:t>
            </w:r>
          </w:p>
        </w:tc>
        <w:tc>
          <w:tcPr>
            <w:tcW w:w="139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t>Narudžbenica</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536" w:hRule="atLeast"/>
        </w:trPr>
        <w:tc>
          <w:tcPr>
            <w:tcW w:w="1094"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11/24</w:t>
            </w:r>
          </w:p>
        </w:tc>
        <w:tc>
          <w:tcPr>
            <w:tcW w:w="2204" w:type="dxa"/>
            <w:tcBorders>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Usluge čišćenja</w:t>
            </w:r>
          </w:p>
        </w:tc>
        <w:tc>
          <w:tcPr>
            <w:tcW w:w="137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 xml:space="preserve">90910000-9 </w:t>
            </w:r>
          </w:p>
        </w:tc>
        <w:tc>
          <w:tcPr>
            <w:tcW w:w="1515"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3.000,00</w:t>
            </w:r>
          </w:p>
        </w:tc>
        <w:tc>
          <w:tcPr>
            <w:tcW w:w="139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t>Narudžbenica</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536" w:hRule="atLeast"/>
        </w:trPr>
        <w:tc>
          <w:tcPr>
            <w:tcW w:w="1094"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12/24</w:t>
            </w:r>
          </w:p>
        </w:tc>
        <w:tc>
          <w:tcPr>
            <w:tcW w:w="2204" w:type="dxa"/>
            <w:tcBorders>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Troškovi zaštite životinja</w:t>
            </w:r>
          </w:p>
        </w:tc>
        <w:tc>
          <w:tcPr>
            <w:tcW w:w="137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85210000-3</w:t>
            </w:r>
          </w:p>
        </w:tc>
        <w:tc>
          <w:tcPr>
            <w:tcW w:w="1515"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3.200,00</w:t>
            </w:r>
          </w:p>
        </w:tc>
        <w:tc>
          <w:tcPr>
            <w:tcW w:w="139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536" w:hRule="atLeast"/>
        </w:trPr>
        <w:tc>
          <w:tcPr>
            <w:tcW w:w="109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pPr>
            <w:r>
              <w:rPr/>
              <w:t>13/24</w:t>
            </w:r>
          </w:p>
        </w:tc>
        <w:tc>
          <w:tcPr>
            <w:tcW w:w="220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Hortikultura</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03100000-2</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3.000,00</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Narudžbenica</w:t>
            </w:r>
          </w:p>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1275"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pPr>
            <w:r>
              <w:rPr/>
              <w:t>14/24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Usluge promidžbe i informiranja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22462000-6</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Narudžbenica</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690"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color w:val="000000"/>
              </w:rPr>
            </w:pPr>
            <w:r>
              <w:rPr>
                <w:color w:val="000000"/>
              </w:rPr>
              <w:t>15/24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rPr>
              <w:t>Usluge iznošenja i odvoz smeća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90511000-2</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4.500,00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 Narudžbenica</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kontinuirano</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705"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bidi w:val="0"/>
              <w:snapToGrid w:val="false"/>
              <w:jc w:val="center"/>
              <w:rPr/>
            </w:pPr>
            <w:r>
              <w:rPr/>
              <w:t>16/24</w:t>
            </w:r>
          </w:p>
        </w:tc>
        <w:tc>
          <w:tcPr>
            <w:tcW w:w="2204" w:type="dxa"/>
            <w:tcBorders>
              <w:top w:val="single" w:sz="4" w:space="0" w:color="000000"/>
              <w:left w:val="single" w:sz="4" w:space="0" w:color="000000"/>
              <w:bottom w:val="single" w:sz="4" w:space="0" w:color="000000"/>
            </w:tcBorders>
            <w:vAlign w:val="center"/>
          </w:tcPr>
          <w:p>
            <w:pPr>
              <w:pStyle w:val="Sadrajitablice"/>
              <w:widowControl w:val="false"/>
              <w:bidi w:val="0"/>
              <w:snapToGrid w:val="false"/>
              <w:jc w:val="center"/>
              <w:rPr>
                <w:rFonts w:ascii="Times New Roman" w:hAnsi="Times New Roman" w:cs="Times New Roman"/>
              </w:rPr>
            </w:pPr>
            <w:r>
              <w:rPr>
                <w:rFonts w:cs="Times New Roman" w:ascii="Times New Roman" w:hAnsi="Times New Roman"/>
                <w:color w:val="000000"/>
              </w:rPr>
              <w:t xml:space="preserve">Deratizacija </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color w:val="000000"/>
              </w:rPr>
              <w:t>90923000-3</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4.000,00</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Narudžbenica</w:t>
            </w:r>
          </w:p>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4/24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 mjesec</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w:t>
            </w:r>
          </w:p>
        </w:tc>
      </w:tr>
      <w:tr>
        <w:trPr>
          <w:trHeight w:val="1155"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17/24</w:t>
            </w:r>
          </w:p>
        </w:tc>
        <w:tc>
          <w:tcPr>
            <w:tcW w:w="2204"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color w:val="000000"/>
              </w:rPr>
              <w:t>Dezinsekcija komaraca i stršljenova</w:t>
            </w:r>
          </w:p>
        </w:tc>
        <w:tc>
          <w:tcPr>
            <w:tcW w:w="137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24452000-7</w:t>
            </w:r>
          </w:p>
        </w:tc>
        <w:tc>
          <w:tcPr>
            <w:tcW w:w="1515"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8.000,00</w:t>
            </w:r>
          </w:p>
        </w:tc>
        <w:tc>
          <w:tcPr>
            <w:tcW w:w="1397"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left w:val="single" w:sz="4" w:space="0" w:color="000000"/>
              <w:bottom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 godina</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155"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18/24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Ugovori o djelu</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79994000-8</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15.000,00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083"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19/24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Izrada projektne dokumentacije</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71242000-6</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p>
            <w:pPr>
              <w:pStyle w:val="Normal"/>
              <w:widowControl w:val="false"/>
              <w:bidi w:val="0"/>
              <w:jc w:val="center"/>
              <w:rPr>
                <w:rFonts w:ascii="Times New Roman" w:hAnsi="Times New Roman" w:cs="Times New Roman"/>
              </w:rPr>
            </w:pPr>
            <w:r>
              <w:rPr>
                <w:rFonts w:cs="Times New Roman" w:ascii="Times New Roman" w:hAnsi="Times New Roman"/>
              </w:rPr>
              <w:t>Narudžbenica</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155"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20/24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Reprezentacija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15000000-8</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6.500,00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Narudžbenica</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 potrebi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377" w:hRule="atLeast"/>
        </w:trPr>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pPr>
            <w:r>
              <w:rPr/>
            </w:r>
          </w:p>
          <w:p>
            <w:pPr>
              <w:pStyle w:val="Normal"/>
              <w:widowControl w:val="false"/>
              <w:bidi w:val="0"/>
              <w:jc w:val="center"/>
              <w:rPr/>
            </w:pPr>
            <w:r>
              <w:rPr/>
            </w:r>
          </w:p>
          <w:p>
            <w:pPr>
              <w:pStyle w:val="Normal"/>
              <w:widowControl w:val="false"/>
              <w:bidi w:val="0"/>
              <w:jc w:val="center"/>
              <w:rPr/>
            </w:pPr>
            <w:r>
              <w:rPr/>
              <w:t>21/24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Nabavka opreme za dječje igralište</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37535200-9</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33.000,00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 mjeseci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377"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22/24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Računalne usluge</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48151000-1</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Narudžbenica</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1/24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1377"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23/24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Sufinanciranje ekskurzije učenika</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34114210-4</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7.000,00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Narudžbenica</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5/24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24/24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Sufinanciranje cijene prijevoza učenika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63000000-9</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color w:val="000000"/>
              </w:rPr>
              <w:t>3.300,00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kontinuirano</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25/24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Sanacija pješačkih staza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45233252-0</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30.000,00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9/24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 mjeseca</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26/24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color w:val="000000"/>
              </w:rPr>
              <w:t>Uređenje malonogometnog igrališta</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 xml:space="preserve">45112720-8 </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8.000,00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 mjeseca</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r>
          </w:p>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27/24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Uređenje centra – faza II</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rFonts w:cs="Times New Roman" w:ascii="Times New Roman" w:hAnsi="Times New Roman"/>
                <w:color w:val="000000"/>
              </w:rPr>
              <w:t>71400000-2</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36.000,00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 mjeseci</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596"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28/24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Renoviranje etno kuće – dom kulture</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45454000-4</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168.000,00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5/24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2 godine</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1596"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29/24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Uređenje NK Negoslavci – obnova svlačionice</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45454000-4</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24.000,00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5/24</w:t>
            </w:r>
          </w:p>
        </w:tc>
        <w:tc>
          <w:tcPr>
            <w:tcW w:w="1584"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6 mjeseci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30/24</w:t>
            </w:r>
          </w:p>
        </w:tc>
        <w:tc>
          <w:tcPr>
            <w:tcW w:w="2204"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 xml:space="preserve">Usluge tek. i investicijskog održavanja javne rasvjete </w:t>
            </w:r>
          </w:p>
        </w:tc>
        <w:tc>
          <w:tcPr>
            <w:tcW w:w="1375"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50232100-1</w:t>
            </w:r>
          </w:p>
        </w:tc>
        <w:tc>
          <w:tcPr>
            <w:tcW w:w="1515"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7.000,00</w:t>
            </w:r>
          </w:p>
        </w:tc>
        <w:tc>
          <w:tcPr>
            <w:tcW w:w="1397"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077" w:type="dxa"/>
            <w:tcBorders>
              <w:top w:val="single" w:sz="4" w:space="0" w:color="000000"/>
              <w:left w:val="single" w:sz="4" w:space="0" w:color="000000"/>
              <w:bottom w:val="single" w:sz="4" w:space="0" w:color="000000"/>
            </w:tcBorders>
            <w:vAlign w:val="center"/>
          </w:tcPr>
          <w:p>
            <w:pPr>
              <w:pStyle w:val="Normal"/>
              <w:widowControl w:val="false"/>
              <w:bidi w:val="0"/>
              <w:jc w:val="center"/>
              <w:rPr/>
            </w:pPr>
            <w:r>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 godina</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31/24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Izgradnja parkinga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rFonts w:cs="Times New Roman" w:ascii="Times New Roman" w:hAnsi="Times New Roman"/>
                <w:color w:val="000000"/>
              </w:rPr>
              <w:t>71400000-2</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pPr>
            <w:r>
              <w:rPr/>
              <w:t xml:space="preserve">   </w:t>
            </w:r>
            <w:r>
              <w:rPr/>
              <w:t>25.000,00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 mjeseca</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b/>
                <w:b/>
                <w:bCs/>
              </w:rPr>
            </w:pPr>
            <w:r>
              <w:rPr>
                <w:b/>
                <w:bCs/>
              </w:rPr>
              <w:t>32/24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Izgradnja dječjeg vrtića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45000000-7</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720.386,09</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Otvoreni postupak</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p>
            <w:pPr>
              <w:pStyle w:val="Normal"/>
              <w:widowControl w:val="false"/>
              <w:bidi w:val="0"/>
              <w:jc w:val="center"/>
              <w:rPr/>
            </w:pPr>
            <w:r>
              <w:rPr/>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p>
            <w:pPr>
              <w:pStyle w:val="Normal"/>
              <w:widowControl w:val="false"/>
              <w:bidi w:val="0"/>
              <w:jc w:val="center"/>
              <w:rPr/>
            </w:pPr>
            <w:r>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DA</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9/24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r>
          </w:p>
          <w:p>
            <w:pPr>
              <w:pStyle w:val="Normal"/>
              <w:widowControl w:val="false"/>
              <w:bidi w:val="0"/>
              <w:jc w:val="center"/>
              <w:rPr/>
            </w:pPr>
            <w:r>
              <w:rPr/>
              <w:t>22 mjeseca</w:t>
            </w:r>
          </w:p>
          <w:p>
            <w:pPr>
              <w:pStyle w:val="Normal"/>
              <w:widowControl w:val="false"/>
              <w:bidi w:val="0"/>
              <w:jc w:val="center"/>
              <w:rPr/>
            </w:pPr>
            <w:r>
              <w:rPr/>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pPr>
            <w:r>
              <w:rPr/>
            </w:r>
          </w:p>
          <w:p>
            <w:pPr>
              <w:pStyle w:val="Normal"/>
              <w:widowControl w:val="false"/>
              <w:bidi w:val="0"/>
              <w:jc w:val="center"/>
              <w:rPr/>
            </w:pPr>
            <w:r>
              <w:rPr/>
            </w:r>
          </w:p>
          <w:p>
            <w:pPr>
              <w:pStyle w:val="Normal"/>
              <w:widowControl w:val="false"/>
              <w:bidi w:val="0"/>
              <w:jc w:val="center"/>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33/24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Oprema trimeri</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44613800-8</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 godina</w:t>
            </w:r>
          </w:p>
        </w:tc>
        <w:tc>
          <w:tcPr>
            <w:tcW w:w="9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w:t>
            </w:r>
          </w:p>
        </w:tc>
      </w:tr>
      <w:tr>
        <w:trPr>
          <w:trHeight w:val="1596" w:hRule="atLeast"/>
        </w:trPr>
        <w:tc>
          <w:tcPr>
            <w:tcW w:w="10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t>34/24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Sufinanciranje prijevoza građana</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60000000-8</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10.000,00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1/24</w:t>
            </w:r>
          </w:p>
        </w:tc>
        <w:tc>
          <w:tcPr>
            <w:tcW w:w="15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1 godina</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pPr>
            <w:r>
              <w:rPr/>
            </w:r>
          </w:p>
          <w:p>
            <w:pPr>
              <w:pStyle w:val="Normal"/>
              <w:widowControl w:val="false"/>
              <w:bidi w:val="0"/>
              <w:jc w:val="center"/>
              <w:rPr/>
            </w:pPr>
            <w:r>
              <w:rPr/>
            </w:r>
          </w:p>
          <w:p>
            <w:pPr>
              <w:pStyle w:val="Normal"/>
              <w:widowControl w:val="false"/>
              <w:bidi w:val="0"/>
              <w:jc w:val="center"/>
              <w:rPr/>
            </w:pPr>
            <w:r>
              <w:rPr/>
              <w:t>-</w:t>
            </w:r>
          </w:p>
        </w:tc>
      </w:tr>
      <w:tr>
        <w:trPr>
          <w:trHeight w:val="1596"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35/24</w:t>
            </w:r>
          </w:p>
        </w:tc>
        <w:tc>
          <w:tcPr>
            <w:tcW w:w="2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t>Kućanske i osnovne higijenske potrepštine</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33700000-7</w:t>
            </w:r>
          </w:p>
        </w:tc>
        <w:tc>
          <w:tcPr>
            <w:tcW w:w="1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33.000,00</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Postupak jednostavne nabave</w:t>
            </w:r>
          </w:p>
        </w:tc>
        <w:tc>
          <w:tcPr>
            <w:tcW w:w="10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NE</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pPr>
            <w:r>
              <w:rPr/>
              <w:t>Ugovor</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t>DA</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t>2/24</w:t>
            </w:r>
          </w:p>
        </w:tc>
        <w:tc>
          <w:tcPr>
            <w:tcW w:w="158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widowControl w:val="false"/>
              <w:bidi w:val="0"/>
              <w:jc w:val="center"/>
              <w:rPr/>
            </w:pPr>
            <w:r>
              <w:rPr/>
              <w:t>3 godine</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pPr>
            <w:r>
              <w:rPr/>
              <w:t>-</w:t>
            </w:r>
          </w:p>
          <w:p>
            <w:pPr>
              <w:pStyle w:val="Normal"/>
              <w:widowControl w:val="false"/>
              <w:bidi w:val="0"/>
              <w:jc w:val="center"/>
              <w:rPr/>
            </w:pPr>
            <w:r>
              <w:rPr/>
            </w:r>
          </w:p>
        </w:tc>
      </w:tr>
      <w:tr>
        <w:trPr>
          <w:trHeight w:val="1596"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36/24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Promidžbeni materijal-”Zaželi”</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pPr>
            <w:r>
              <w:rPr/>
              <w:t xml:space="preserve">22462000-6 </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pPr>
            <w:r>
              <w:rPr/>
              <w:t>10.000,00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1/24</w:t>
            </w:r>
          </w:p>
        </w:tc>
        <w:tc>
          <w:tcPr>
            <w:tcW w:w="1584"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r>
        <w:trPr>
          <w:trHeight w:val="1596" w:hRule="atLeast"/>
        </w:trPr>
        <w:tc>
          <w:tcPr>
            <w:tcW w:w="1094"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37/24</w:t>
            </w:r>
          </w:p>
        </w:tc>
        <w:tc>
          <w:tcPr>
            <w:tcW w:w="2204" w:type="dxa"/>
            <w:tcBorders>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Reprezentacija projekt „Zaželi”</w:t>
            </w:r>
          </w:p>
        </w:tc>
        <w:tc>
          <w:tcPr>
            <w:tcW w:w="1375" w:type="dxa"/>
            <w:tcBorders>
              <w:left w:val="single" w:sz="4" w:space="0" w:color="000000"/>
              <w:bottom w:val="single" w:sz="4" w:space="0" w:color="000000"/>
              <w:right w:val="single" w:sz="4" w:space="0" w:color="000000"/>
            </w:tcBorders>
            <w:vAlign w:val="center"/>
          </w:tcPr>
          <w:p>
            <w:pPr>
              <w:pStyle w:val="Normal"/>
              <w:widowControl w:val="false"/>
              <w:bidi w:val="0"/>
              <w:jc w:val="center"/>
              <w:rPr/>
            </w:pPr>
            <w:r>
              <w:rPr/>
              <w:t>15119000-5</w:t>
            </w:r>
          </w:p>
        </w:tc>
        <w:tc>
          <w:tcPr>
            <w:tcW w:w="1515" w:type="dxa"/>
            <w:tcBorders>
              <w:left w:val="single" w:sz="4" w:space="0" w:color="000000"/>
              <w:bottom w:val="single" w:sz="4" w:space="0" w:color="000000"/>
              <w:right w:val="single" w:sz="4" w:space="0" w:color="000000"/>
            </w:tcBorders>
            <w:vAlign w:val="center"/>
          </w:tcPr>
          <w:p>
            <w:pPr>
              <w:pStyle w:val="Normal"/>
              <w:widowControl w:val="false"/>
              <w:bidi w:val="0"/>
              <w:jc w:val="center"/>
              <w:rPr/>
            </w:pPr>
            <w:r>
              <w:rPr/>
              <w:t>20.000,00</w:t>
            </w:r>
          </w:p>
        </w:tc>
        <w:tc>
          <w:tcPr>
            <w:tcW w:w="1397"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Postupak jednostavne nabave</w:t>
            </w:r>
          </w:p>
        </w:tc>
        <w:tc>
          <w:tcPr>
            <w:tcW w:w="1031"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562"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Ugovor</w:t>
            </w:r>
          </w:p>
        </w:tc>
        <w:tc>
          <w:tcPr>
            <w:tcW w:w="1275" w:type="dxa"/>
            <w:tcBorders>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NE</w:t>
            </w:r>
          </w:p>
        </w:tc>
        <w:tc>
          <w:tcPr>
            <w:tcW w:w="1077" w:type="dxa"/>
            <w:tcBorders>
              <w:left w:val="single" w:sz="4" w:space="0" w:color="000000"/>
              <w:bottom w:val="single" w:sz="4" w:space="0" w:color="000000"/>
              <w:right w:val="single" w:sz="4" w:space="0" w:color="000000"/>
            </w:tcBorders>
            <w:vAlign w:val="center"/>
          </w:tcPr>
          <w:p>
            <w:pPr>
              <w:pStyle w:val="Normal"/>
              <w:widowControl w:val="false"/>
              <w:bidi w:val="0"/>
              <w:jc w:val="center"/>
              <w:rPr>
                <w:color w:val="000000"/>
              </w:rPr>
            </w:pPr>
            <w:r>
              <w:rPr>
                <w:color w:val="000000"/>
              </w:rPr>
              <w:t>1/24</w:t>
            </w:r>
          </w:p>
        </w:tc>
        <w:tc>
          <w:tcPr>
            <w:tcW w:w="1584"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bidi w:val="0"/>
              <w:snapToGrid w:val="false"/>
              <w:jc w:val="center"/>
              <w:rPr>
                <w:rFonts w:ascii="Times New Roman" w:hAnsi="Times New Roman" w:cs="Times New Roman"/>
              </w:rPr>
            </w:pPr>
            <w:r>
              <w:rPr>
                <w:rFonts w:cs="Times New Roman" w:ascii="Times New Roman" w:hAnsi="Times New Roman"/>
              </w:rPr>
              <w:t>po potrebi</w:t>
            </w:r>
          </w:p>
        </w:tc>
        <w:tc>
          <w:tcPr>
            <w:tcW w:w="959" w:type="dxa"/>
            <w:tcBorders>
              <w:left w:val="single" w:sz="4" w:space="0" w:color="000000"/>
              <w:bottom w:val="single" w:sz="4" w:space="0" w:color="000000"/>
              <w:right w:val="single" w:sz="4" w:space="0" w:color="000000"/>
            </w:tcBorders>
            <w:vAlign w:val="center"/>
          </w:tcPr>
          <w:p>
            <w:pPr>
              <w:pStyle w:val="Normal"/>
              <w:widowControl w:val="false"/>
              <w:bidi w:val="0"/>
              <w:jc w:val="center"/>
              <w:rPr>
                <w:rFonts w:ascii="Times New Roman" w:hAnsi="Times New Roman" w:cs="Times New Roman"/>
              </w:rPr>
            </w:pPr>
            <w:r>
              <w:rPr>
                <w:rFonts w:cs="Times New Roman" w:ascii="Times New Roman" w:hAnsi="Times New Roman"/>
              </w:rPr>
              <w:t>-</w:t>
            </w:r>
          </w:p>
        </w:tc>
      </w:tr>
    </w:tbl>
    <w:p>
      <w:pPr>
        <w:pStyle w:val="Normal"/>
        <w:bidi w:val="0"/>
        <w:jc w:val="left"/>
        <w:rPr/>
      </w:pPr>
      <w:r>
        <w:rPr/>
        <w:t>„</w:t>
      </w:r>
    </w:p>
    <w:p>
      <w:pPr>
        <w:pStyle w:val="Normal"/>
        <w:bidi w:val="0"/>
        <w:jc w:val="center"/>
        <w:rPr>
          <w:b/>
          <w:b/>
        </w:rPr>
      </w:pPr>
      <w:r>
        <w:rPr>
          <w:b/>
        </w:rPr>
        <w:t>Članak 2.</w:t>
      </w:r>
    </w:p>
    <w:p>
      <w:pPr>
        <w:pStyle w:val="Normal"/>
        <w:bidi w:val="0"/>
        <w:jc w:val="both"/>
        <w:rPr/>
      </w:pPr>
      <w:r>
        <w:rPr/>
        <w:tab/>
        <w:t>Ostale odredbe Plana se ne mijenjaju, niti se dopunjavaju.</w:t>
      </w:r>
    </w:p>
    <w:p>
      <w:pPr>
        <w:pStyle w:val="Normal"/>
        <w:bidi w:val="0"/>
        <w:jc w:val="both"/>
        <w:rPr/>
      </w:pPr>
      <w:r>
        <w:rPr/>
      </w:r>
    </w:p>
    <w:p>
      <w:pPr>
        <w:pStyle w:val="Normal"/>
        <w:bidi w:val="0"/>
        <w:jc w:val="center"/>
        <w:rPr>
          <w:b/>
          <w:b/>
          <w:bCs/>
        </w:rPr>
      </w:pPr>
      <w:r>
        <w:rPr>
          <w:b/>
          <w:bCs/>
        </w:rPr>
        <w:t>Članak 3.</w:t>
      </w:r>
    </w:p>
    <w:p>
      <w:pPr>
        <w:pStyle w:val="Normal"/>
        <w:bidi w:val="0"/>
        <w:jc w:val="both"/>
        <w:rPr/>
      </w:pPr>
      <w:r>
        <w:rPr/>
        <w:tab/>
        <w:t>Izmjene i dopune Plana javne nabave za 2024. godinu stupaju na snagu dan nakon dana objave u Službenom glasniku Općine Negoslavci.</w:t>
      </w:r>
    </w:p>
    <w:p>
      <w:pPr>
        <w:pStyle w:val="Normal"/>
        <w:bidi w:val="0"/>
        <w:jc w:val="both"/>
        <w:rPr/>
      </w:pPr>
      <w:r>
        <w:rPr/>
      </w:r>
    </w:p>
    <w:p>
      <w:pPr>
        <w:pStyle w:val="Normal"/>
        <w:bidi w:val="0"/>
        <w:jc w:val="both"/>
        <w:rPr/>
      </w:pPr>
      <w:r>
        <w:rPr/>
        <w:t>KLASA: 400-05/23-01/01</w:t>
      </w:r>
    </w:p>
    <w:p>
      <w:pPr>
        <w:pStyle w:val="Normal"/>
        <w:bidi w:val="0"/>
        <w:jc w:val="both"/>
        <w:rPr/>
      </w:pPr>
      <w:r>
        <w:rPr/>
        <w:t>URBROJ : 2196-19-01-24-02</w:t>
      </w:r>
    </w:p>
    <w:p>
      <w:pPr>
        <w:pStyle w:val="Normal"/>
        <w:bidi w:val="0"/>
        <w:jc w:val="both"/>
        <w:rPr/>
      </w:pPr>
      <w:r>
        <w:rPr/>
        <w:t>Negoslavci, 14.05.2024. godine</w:t>
      </w:r>
    </w:p>
    <w:p>
      <w:pPr>
        <w:pStyle w:val="Normal"/>
        <w:bidi w:val="0"/>
        <w:ind w:firstLine="708"/>
        <w:jc w:val="right"/>
        <w:rPr>
          <w:b/>
          <w:b/>
        </w:rPr>
      </w:pPr>
      <w:r>
        <w:rPr>
          <w:b/>
        </w:rPr>
      </w:r>
    </w:p>
    <w:p>
      <w:pPr>
        <w:pStyle w:val="Normal"/>
        <w:bidi w:val="0"/>
        <w:ind w:firstLine="708"/>
        <w:jc w:val="right"/>
        <w:rPr>
          <w:b/>
          <w:b/>
        </w:rPr>
      </w:pPr>
      <w:r>
        <w:rPr>
          <w:b/>
        </w:rPr>
      </w:r>
    </w:p>
    <w:p>
      <w:pPr>
        <w:pStyle w:val="Normal"/>
        <w:bidi w:val="0"/>
        <w:ind w:hanging="0"/>
        <w:jc w:val="center"/>
        <w:rPr/>
      </w:pPr>
      <w:r>
        <w:rPr>
          <w:b/>
        </w:rPr>
        <w:t>OPĆINSKI NAČELNIK</w:t>
      </w:r>
    </w:p>
    <w:p>
      <w:pPr>
        <w:pStyle w:val="Normal"/>
        <w:bidi w:val="0"/>
        <w:jc w:val="center"/>
        <w:rPr/>
      </w:pPr>
      <w:r>
        <w:rPr>
          <w:bCs/>
          <w:kern w:val="0"/>
        </w:rPr>
        <w:t>Dušan Jeckov</w:t>
      </w:r>
    </w:p>
    <w:p>
      <w:pPr>
        <w:pStyle w:val="Normal"/>
        <w:numPr>
          <w:ilvl w:val="0"/>
          <w:numId w:val="0"/>
        </w:numPr>
        <w:bidi w:val="0"/>
        <w:ind w:left="0" w:hanging="0"/>
        <w:jc w:val="center"/>
        <w:rPr/>
      </w:pPr>
      <w:r>
        <w:rPr/>
        <w:drawing>
          <wp:inline distT="0" distB="0" distL="0" distR="0">
            <wp:extent cx="5761355" cy="36830"/>
            <wp:effectExtent l="0" t="0" r="0" b="0"/>
            <wp:docPr id="3"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1" descr=""/>
                    <pic:cNvPicPr>
                      <a:picLocks noChangeAspect="1" noChangeArrowheads="1"/>
                    </pic:cNvPicPr>
                  </pic:nvPicPr>
                  <pic:blipFill>
                    <a:blip r:embed="rId7"/>
                    <a:stretch>
                      <a:fillRect/>
                    </a:stretch>
                  </pic:blipFill>
                  <pic:spPr bwMode="auto">
                    <a:xfrm>
                      <a:off x="0" y="0"/>
                      <a:ext cx="5761355" cy="36830"/>
                    </a:xfrm>
                    <a:prstGeom prst="rect">
                      <a:avLst/>
                    </a:prstGeom>
                  </pic:spPr>
                </pic:pic>
              </a:graphicData>
            </a:graphic>
          </wp:inline>
        </w:drawing>
      </w:r>
    </w:p>
    <w:sectPr>
      <w:headerReference w:type="even" r:id="rId8"/>
      <w:headerReference w:type="default" r:id="rId9"/>
      <w:type w:val="nextPage"/>
      <w:pgSz w:orient="landscape" w:w="16838" w:h="11906"/>
      <w:pgMar w:left="1134" w:right="1134" w:gutter="0" w:header="1134" w:top="1968"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Calibri">
    <w:charset w:val="ee"/>
    <w:family w:val="roman"/>
    <w:pitch w:val="variable"/>
  </w:font>
  <w:font w:name="TimesNewRoman">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w:t>
    </w:r>
    <w:r>
      <w:rPr>
        <w:rFonts w:eastAsia="Times New Roman" w:cs="Times New Roman"/>
        <w:u w:val="single"/>
        <w:lang w:val="en-AU" w:eastAsia="hr-HR"/>
      </w:rPr>
      <w:t>4</w:t>
    </w:r>
    <w:r>
      <w:rPr>
        <w:rFonts w:eastAsia="Times New Roman" w:cs="Times New Roman"/>
        <w:u w:val="single"/>
        <w:lang w:val="en-AU" w:eastAsia="hr-HR"/>
      </w:rPr>
      <w:t>.</w:t>
      <w:tab/>
      <w:t xml:space="preserve">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w:t>
    </w:r>
    <w:r>
      <w:rPr>
        <w:rFonts w:eastAsia="Times New Roman" w:cs="Times New Roman"/>
        <w:u w:val="single"/>
        <w:lang w:val="en-AU" w:eastAsia="hr-HR"/>
      </w:rPr>
      <w:t>4</w:t>
    </w:r>
    <w:r>
      <w:rPr>
        <w:rFonts w:eastAsia="Times New Roman" w:cs="Times New Roman"/>
        <w:u w:val="single"/>
        <w:lang w:val="en-AU" w:eastAsia="hr-HR"/>
      </w:rPr>
      <w:t>.</w:t>
      <w:tab/>
      <w:t xml:space="preserve">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3</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w:t>
    </w:r>
    <w:r>
      <w:rPr>
        <w:rFonts w:eastAsia="Times New Roman" w:cs="Times New Roman"/>
        <w:u w:val="single"/>
        <w:lang w:val="en-AU" w:eastAsia="hr-HR"/>
      </w:rPr>
      <w:t>4</w:t>
    </w:r>
    <w:r>
      <w:rPr>
        <w:rFonts w:eastAsia="Times New Roman" w:cs="Times New Roman"/>
        <w:u w:val="single"/>
        <w:lang w:val="en-AU" w:eastAsia="hr-HR"/>
      </w:rPr>
      <w:t>.</w:t>
      <w:tab/>
      <w:t xml:space="preserve">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10</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w:t>
    </w:r>
    <w:r>
      <w:rPr>
        <w:rFonts w:eastAsia="Times New Roman" w:cs="Times New Roman"/>
        <w:u w:val="single"/>
        <w:lang w:val="en-AU" w:eastAsia="hr-HR"/>
      </w:rPr>
      <w:t>4</w:t>
    </w:r>
    <w:r>
      <w:rPr>
        <w:rFonts w:eastAsia="Times New Roman" w:cs="Times New Roman"/>
        <w:u w:val="single"/>
        <w:lang w:val="en-AU" w:eastAsia="hr-HR"/>
      </w:rPr>
      <w:t>.</w:t>
      <w:tab/>
      <w:t xml:space="preserve">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10</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lvl>
    <w:lvl w:ilvl="1">
      <w:start w:val="2"/>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2"/>
      </w:numPr>
      <w:jc w:val="left"/>
      <w:outlineLvl w:val="0"/>
    </w:pPr>
    <w:rPr>
      <w:rFonts w:ascii="Times New Roman" w:hAnsi="Times New Roman" w:eastAsia="Times New Roman" w:cs="Times New Roman"/>
      <w:sz w:val="24"/>
      <w:szCs w:val="20"/>
      <w:lang w:val="hr-HR"/>
    </w:rPr>
  </w:style>
  <w:style w:type="paragraph" w:styleId="Stilnaslova2">
    <w:name w:val="Heading 2"/>
    <w:basedOn w:val="Normal"/>
    <w:next w:val="Normal"/>
    <w:qFormat/>
    <w:pPr>
      <w:keepNext w:val="true"/>
      <w:keepLines/>
      <w:numPr>
        <w:ilvl w:val="1"/>
        <w:numId w:val="3"/>
      </w:numPr>
      <w:spacing w:before="40" w:after="0"/>
      <w:outlineLvl w:val="1"/>
    </w:pPr>
    <w:rPr>
      <w:rFonts w:ascii="Calibri Light" w:hAnsi="Calibri Light" w:eastAsia="Times New Roman"/>
      <w:color w:val="2E74B5"/>
      <w:sz w:val="26"/>
      <w:szCs w:val="26"/>
    </w:rPr>
  </w:style>
  <w:style w:type="character" w:styleId="Internetskapoveznica">
    <w:name w:val="Hyperlink"/>
    <w:rPr>
      <w:color w:val="000080"/>
      <w:u w:val="single"/>
      <w:lang w:val="zxx" w:eastAsia="zxx" w:bidi="zxx"/>
    </w:rPr>
  </w:style>
  <w:style w:type="character" w:styleId="DefaultParagraphFont">
    <w:name w:val="Default Paragraph Font"/>
    <w:qFormat/>
    <w:rPr/>
  </w:style>
  <w:style w:type="character" w:styleId="St">
    <w:name w:val="st"/>
    <w:basedOn w:val="DefaultParagraphFont"/>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Odlomakpopisa">
    <w:name w:val="Odlomak popisa"/>
    <w:basedOn w:val="Normal"/>
    <w:qFormat/>
    <w:pPr>
      <w:spacing w:before="0" w:after="0"/>
      <w:ind w:left="720" w:firstLine="709"/>
      <w:contextualSpacing/>
      <w:jc w:val="left"/>
    </w:pPr>
    <w:rPr>
      <w:rFonts w:ascii="Calibri" w:hAnsi="Calibri" w:eastAsia="Calibri" w:cs="Times New Roman"/>
    </w:rPr>
  </w:style>
  <w:style w:type="paragraph" w:styleId="ListParagraph">
    <w:name w:val="List Paragraph"/>
    <w:basedOn w:val="Normal"/>
    <w:qFormat/>
    <w:pPr>
      <w:spacing w:before="0" w:after="0"/>
      <w:ind w:left="720" w:hanging="0"/>
      <w:contextualSpacing/>
    </w:pPr>
    <w:rPr/>
  </w:style>
  <w:style w:type="paragraph" w:styleId="Tijeloteksta21">
    <w:name w:val="Tijelo teksta 21"/>
    <w:basedOn w:val="Normal"/>
    <w:qFormat/>
    <w:pPr>
      <w:spacing w:lineRule="auto" w:line="480" w:before="0" w:after="120"/>
    </w:pPr>
    <w:rPr/>
  </w:style>
  <w:style w:type="paragraph" w:styleId="Sadrajitablice">
    <w:name w:val="Sadržaji tablice"/>
    <w:basedOn w:val="Normal"/>
    <w:qFormat/>
    <w:pPr>
      <w:suppressLineNumbers/>
    </w:pPr>
    <w:rPr/>
  </w:style>
  <w:style w:type="paragraph" w:styleId="Zaglavljeipodnoje">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suppressLineNumbers/>
    </w:pPr>
    <w:rPr/>
  </w:style>
  <w:style w:type="paragraph" w:styleId="NoSpacing">
    <w:name w:val="No Spacing"/>
    <w:qFormat/>
    <w:pPr>
      <w:widowControl/>
      <w:suppressAutoHyphens w:val="true"/>
      <w:bidi w:val="0"/>
      <w:spacing w:before="0" w:after="0"/>
      <w:jc w:val="left"/>
    </w:pPr>
    <w:rPr>
      <w:rFonts w:ascii="TimesNewRoman" w:hAnsi="TimesNewRoman" w:eastAsia="NSimSun" w:cs="TimesNewRoman"/>
      <w:color w:val="auto"/>
      <w:kern w:val="2"/>
      <w:sz w:val="24"/>
      <w:szCs w:val="24"/>
      <w:lang w:val="hr-HR" w:eastAsia="zh-CN" w:bidi="hi-IN"/>
    </w:rPr>
  </w:style>
  <w:style w:type="paragraph" w:styleId="Default">
    <w:name w:val="Default"/>
    <w:qFormat/>
    <w:pPr>
      <w:widowControl/>
      <w:suppressAutoHyphens w:val="true"/>
      <w:bidi w:val="0"/>
      <w:spacing w:lineRule="auto" w:line="240" w:before="0" w:after="0"/>
      <w:jc w:val="left"/>
    </w:pPr>
    <w:rPr>
      <w:rFonts w:ascii="Arial" w:hAnsi="Arial" w:eastAsia="Times New Roman" w:cs="Arial"/>
      <w:color w:val="000000"/>
      <w:kern w:val="0"/>
      <w:sz w:val="24"/>
      <w:szCs w:val="24"/>
      <w:lang w:val="hr-HR" w:eastAsia="hr-HR" w:bidi="ar-SA"/>
    </w:rPr>
  </w:style>
  <w:style w:type="paragraph" w:styleId="Naslov11">
    <w:name w:val="Naslov 11"/>
    <w:basedOn w:val="Normal"/>
    <w:qFormat/>
    <w:pPr>
      <w:widowControl w:val="false"/>
      <w:spacing w:lineRule="auto" w:line="240" w:before="0" w:after="0"/>
      <w:ind w:left="116" w:hanging="0"/>
      <w:outlineLvl w:val="1"/>
    </w:pPr>
    <w:rPr>
      <w:rFonts w:ascii="Times New Roman" w:hAnsi="Times New Roman" w:eastAsia="Times New Roman" w:cs="Times New Roman"/>
      <w:b/>
      <w:bCs/>
      <w:sz w:val="24"/>
      <w:szCs w:val="24"/>
    </w:rPr>
  </w:style>
  <w:style w:type="paragraph" w:styleId="Box453040">
    <w:name w:val="box_453040"/>
    <w:basedOn w:val="Normal"/>
    <w:qFormat/>
    <w:pPr>
      <w:spacing w:lineRule="auto" w:line="240" w:beforeAutospacing="1" w:afterAutospacing="1"/>
    </w:pPr>
    <w:rPr>
      <w:rFonts w:ascii="Times New Roman" w:hAnsi="Times New Roman" w:eastAsia="Times New Roman" w:cs="Times New Roman"/>
      <w:sz w:val="24"/>
      <w:szCs w:val="24"/>
      <w:lang w:eastAsia="hr-H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kern w:val="0"/>
      <w:sz w:val="24"/>
      <w:szCs w:val="24"/>
      <w:lang w:eastAsia="hr-HR"/>
      <w14:ligatures w14:val="none"/>
    </w:rPr>
  </w:style>
  <w:style w:type="paragraph" w:styleId="Naslovtablice">
    <w:name w:val="Naslov tablice"/>
    <w:basedOn w:val="Sadrajitablice"/>
    <w:qFormat/>
    <w:pPr>
      <w:suppressLineNumbers/>
      <w:jc w:val="center"/>
    </w:pPr>
    <w:rPr>
      <w:b/>
      <w:bCs/>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hr-HR" w:eastAsia="zh-CN" w:bidi="hi-IN"/>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val="hr-HR" w:eastAsia="en-US"/>
    </w:rPr>
  </w:style>
  <w:style w:type="paragraph" w:styleId="Zaglavljelijevo">
    <w:name w:val="Zaglavlje lijevo"/>
    <w:basedOn w:val="Zaglavlje"/>
    <w:qFormat/>
    <w:pPr/>
    <w:rPr/>
  </w:style>
  <w:style w:type="paragraph" w:styleId="Sadraj1">
    <w:name w:val="TOC 1"/>
    <w:basedOn w:val="Normal"/>
    <w:next w:val="Normal"/>
    <w:pPr>
      <w:spacing w:before="240" w:after="120"/>
    </w:pPr>
    <w:rPr>
      <w:b/>
      <w:caps/>
      <w:sz w:val="22"/>
      <w:szCs w:val="22"/>
      <w:u w:val="single"/>
    </w:rPr>
  </w:style>
  <w:style w:type="paragraph" w:styleId="Sadraj2">
    <w:name w:val="TOC 2"/>
    <w:basedOn w:val="Normal"/>
    <w:next w:val="Normal"/>
    <w:pPr/>
    <w:rPr>
      <w:b/>
      <w:smallCaps/>
      <w:sz w:val="22"/>
      <w:szCs w:val="22"/>
    </w:rPr>
  </w:style>
  <w:style w:type="paragraph" w:styleId="Sadrajokvira">
    <w:name w:val="Sadržaj okvira"/>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540</TotalTime>
  <Application>LibreOffice/7.4.1.2$Windows_X86_64 LibreOffice_project/3c58a8f3a960df8bc8fd77b461821e42c061c5f0</Application>
  <AppVersion>15.0000</AppVersion>
  <Pages>11</Pages>
  <Words>1267</Words>
  <Characters>7868</Characters>
  <CharactersWithSpaces>9350</CharactersWithSpaces>
  <Paragraphs>505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2023-10-16T13:20:40Z</dcterms:created>
  <dc:creator/>
  <dc:description/>
  <dc:language>hr-HR</dc:language>
  <cp:lastModifiedBy/>
  <cp:lastPrinted>2024-04-09T09:30:13Z</cp:lastPrinted>
  <dcterms:modified xsi:type="dcterms:W3CDTF">2024-05-14T15:01:51Z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