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contextualSpacing/>
        <w:jc w:val="left"/>
        <w:rPr>
          <w:b/>
          <w:b/>
          <w:lang w:val="hr-HR"/>
        </w:rPr>
      </w:pPr>
      <w:r>
        <w:rPr>
          <w:b/>
          <w:lang w:val="hr-HR"/>
        </w:rPr>
        <w:tab/>
        <w:tab/>
      </w:r>
      <w:r>
        <w:rPr/>
        <w:drawing>
          <wp:inline distT="0" distB="0" distL="0" distR="0">
            <wp:extent cx="474980" cy="599440"/>
            <wp:effectExtent l="0" t="0" r="0" b="0"/>
            <wp:docPr id="1" name="Slika 1" descr="Š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Šahovnic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before="0" w:after="0"/>
        <w:contextualSpacing/>
        <w:jc w:val="left"/>
        <w:rPr>
          <w:b/>
          <w:b/>
          <w:lang w:val="hr-HR"/>
        </w:rPr>
      </w:pPr>
      <w:r>
        <w:rPr>
          <w:b/>
          <w:lang w:val="hr-HR"/>
        </w:rPr>
        <w:tab/>
        <w:t>REPUBLIKA HRVATSKA</w:t>
      </w:r>
    </w:p>
    <w:p>
      <w:pPr>
        <w:pStyle w:val="Normal"/>
        <w:bidi w:val="0"/>
        <w:spacing w:before="0" w:after="0"/>
        <w:contextualSpacing/>
        <w:jc w:val="left"/>
        <w:rPr>
          <w:b/>
          <w:b/>
          <w:lang w:val="hr-HR"/>
        </w:rPr>
      </w:pPr>
      <w:r>
        <w:rPr>
          <w:b/>
          <w:lang w:val="hr-HR"/>
        </w:rPr>
        <w:t>VUKOVARSKO-SRIJEMSKA ŽUPANIJA</w:t>
      </w:r>
    </w:p>
    <w:p>
      <w:pPr>
        <w:pStyle w:val="Normal"/>
        <w:bidi w:val="0"/>
        <w:spacing w:before="0" w:after="0"/>
        <w:contextualSpacing/>
        <w:jc w:val="left"/>
        <w:rPr>
          <w:b/>
          <w:b/>
          <w:lang w:val="hr-HR"/>
        </w:rPr>
      </w:pPr>
      <w:r>
        <w:rPr>
          <w:b/>
          <w:lang w:val="hr-HR"/>
        </w:rPr>
        <w:t>OPĆINA NEGOSLAVCI</w:t>
      </w:r>
    </w:p>
    <w:p>
      <w:pPr>
        <w:pStyle w:val="Normal"/>
        <w:bidi w:val="0"/>
        <w:spacing w:before="0" w:after="0"/>
        <w:contextualSpacing/>
        <w:jc w:val="left"/>
        <w:rPr>
          <w:b/>
          <w:b/>
          <w:lang w:val="hr-HR"/>
        </w:rPr>
      </w:pPr>
      <w:r>
        <w:rPr>
          <w:b/>
          <w:lang w:val="hr-HR"/>
        </w:rPr>
        <w:t>Općinski načelnik</w:t>
      </w:r>
    </w:p>
    <w:p>
      <w:pPr>
        <w:pStyle w:val="Normal"/>
        <w:bidi w:val="0"/>
        <w:spacing w:before="0" w:after="0"/>
        <w:contextualSpacing/>
        <w:jc w:val="both"/>
        <w:rPr>
          <w:rFonts w:eastAsia="Calibri"/>
          <w:kern w:val="0"/>
          <w:lang w:val="hr-HR" w:eastAsia="zh-CN"/>
        </w:rPr>
      </w:pPr>
      <w:r>
        <w:rPr>
          <w:b/>
        </w:rPr>
        <w:t>KLASA:</w:t>
      </w:r>
      <w:r>
        <w:rPr/>
        <w:t xml:space="preserve"> 007-02/23-0</w:t>
      </w:r>
      <w:bookmarkStart w:id="0" w:name="_GoBack"/>
      <w:bookmarkEnd w:id="0"/>
      <w:r>
        <w:rPr/>
        <w:t>1/0</w:t>
      </w:r>
      <w:r>
        <w:rPr>
          <w:color w:val="000000"/>
        </w:rPr>
        <w:t>1</w:t>
      </w:r>
    </w:p>
    <w:p>
      <w:pPr>
        <w:pStyle w:val="Normal"/>
        <w:bidi w:val="0"/>
        <w:spacing w:before="0" w:after="0"/>
        <w:contextualSpacing/>
        <w:jc w:val="left"/>
        <w:rPr>
          <w:color w:val="000000"/>
        </w:rPr>
      </w:pPr>
      <w:r>
        <w:rPr>
          <w:b/>
          <w:color w:val="000000"/>
        </w:rPr>
        <w:t>URBROJ:</w:t>
      </w:r>
      <w:r>
        <w:rPr>
          <w:color w:val="000000"/>
        </w:rPr>
        <w:t xml:space="preserve"> 2196-19-01-</w:t>
      </w:r>
      <w:r>
        <w:rPr>
          <w:color w:val="000000" w:themeColor="text1"/>
          <w:lang w:val="hr-HR"/>
        </w:rPr>
        <w:t>23-</w:t>
      </w:r>
      <w:r>
        <w:rPr>
          <w:color w:val="000000"/>
          <w:lang w:val="hr-HR"/>
        </w:rPr>
        <w:t>25</w:t>
      </w:r>
    </w:p>
    <w:p>
      <w:pPr>
        <w:pStyle w:val="Normal"/>
        <w:bidi w:val="0"/>
        <w:spacing w:before="0" w:after="0"/>
        <w:contextualSpacing/>
        <w:jc w:val="both"/>
        <w:rPr>
          <w:color w:val="000000" w:themeColor="text1"/>
        </w:rPr>
      </w:pPr>
      <w:r>
        <w:rPr>
          <w:b/>
        </w:rPr>
        <w:t>Nego</w:t>
      </w:r>
      <w:r>
        <w:rPr>
          <w:b/>
          <w:color w:val="000000"/>
        </w:rPr>
        <w:t>slavci,</w:t>
      </w:r>
      <w:r>
        <w:rPr>
          <w:color w:val="000000"/>
        </w:rPr>
        <w:t xml:space="preserve"> 02</w:t>
      </w:r>
      <w:r>
        <w:rPr>
          <w:color w:val="000000"/>
          <w:lang w:val="hr-HR"/>
        </w:rPr>
        <w:t>.11.</w:t>
      </w:r>
      <w:r>
        <w:rPr>
          <w:color w:val="000000" w:themeColor="text1"/>
          <w:lang w:val="hr-HR"/>
        </w:rPr>
        <w:t>2023.</w:t>
      </w:r>
      <w:r>
        <w:rPr>
          <w:color w:val="000000" w:themeColor="text1"/>
        </w:rPr>
        <w:t xml:space="preserve"> godine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>
          <w:rFonts w:eastAsia="Calibri"/>
          <w:kern w:val="0"/>
          <w:lang w:val="hr-HR"/>
        </w:rPr>
      </w:pPr>
      <w:r>
        <w:rPr>
          <w:lang w:val="hr-HR"/>
        </w:rPr>
        <w:tab/>
        <w:t xml:space="preserve">Na temelju članka 32., stavka 2., točke 2. Statuta Općine Negoslavci </w:t>
      </w:r>
      <w:r>
        <w:rPr>
          <w:color w:val="000000" w:themeColor="text1"/>
          <w:lang w:val="hr-HR"/>
        </w:rPr>
        <w:t xml:space="preserve">(„Službeni glasnik Općine Negoslavci“ broj </w:t>
      </w:r>
      <w:r>
        <w:rPr>
          <w:color w:val="000000"/>
          <w:lang w:val="hr-HR"/>
        </w:rPr>
        <w:t>01/21</w:t>
      </w:r>
      <w:r>
        <w:rPr>
          <w:color w:val="000000" w:themeColor="text1"/>
          <w:lang w:val="hr-HR"/>
        </w:rPr>
        <w:t>), Općinski načelnik Općine Negoslavci dana 02</w:t>
      </w:r>
      <w:r>
        <w:rPr>
          <w:color w:val="000000"/>
          <w:lang w:val="hr-HR"/>
        </w:rPr>
        <w:t xml:space="preserve">.11.2023. </w:t>
      </w:r>
      <w:r>
        <w:rPr>
          <w:color w:val="000000" w:themeColor="text1"/>
          <w:lang w:val="hr-HR"/>
        </w:rPr>
        <w:t xml:space="preserve">godine </w:t>
      </w:r>
      <w:r>
        <w:rPr>
          <w:color w:val="000000"/>
          <w:lang w:val="hr-HR"/>
        </w:rPr>
        <w:t>donosi</w:t>
      </w:r>
    </w:p>
    <w:p>
      <w:pPr>
        <w:pStyle w:val="Normal"/>
        <w:bidi w:val="0"/>
        <w:jc w:val="center"/>
        <w:rPr>
          <w:b/>
          <w:b/>
          <w:lang w:val="hr-HR"/>
        </w:rPr>
      </w:pPr>
      <w:r>
        <w:rPr>
          <w:b/>
          <w:lang w:val="hr-HR"/>
        </w:rPr>
        <w:t>O  D  L  U  K  U</w:t>
      </w:r>
    </w:p>
    <w:p>
      <w:pPr>
        <w:pStyle w:val="Normal"/>
        <w:bidi w:val="0"/>
        <w:jc w:val="center"/>
        <w:rPr>
          <w:b/>
          <w:b/>
          <w:lang w:val="hr-HR"/>
        </w:rPr>
      </w:pPr>
      <w:r>
        <w:rPr>
          <w:b/>
          <w:lang w:val="hr-HR"/>
        </w:rPr>
        <w:t xml:space="preserve">o izmjenama </w:t>
      </w:r>
      <w:r>
        <w:rPr>
          <w:b/>
          <w:lang w:val="hr-HR"/>
        </w:rPr>
        <w:t>Odluke o</w:t>
      </w:r>
      <w:r>
        <w:rPr>
          <w:b/>
          <w:lang w:val="hr-HR"/>
        </w:rPr>
        <w:t xml:space="preserve"> sufinanciranju udruga građana koje djeluju na području Općine Negoslavci za 2023. godinu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/>
        </w:rPr>
      </w:pPr>
      <w:r>
        <w:rPr>
          <w:b/>
          <w:lang w:val="hr-HR"/>
        </w:rPr>
        <w:t>Članak 1.</w:t>
      </w:r>
    </w:p>
    <w:p>
      <w:pPr>
        <w:pStyle w:val="Normal"/>
        <w:bidi w:val="0"/>
        <w:jc w:val="both"/>
        <w:rPr/>
      </w:pPr>
      <w:r>
        <w:rPr>
          <w:lang w:val="hr-HR"/>
        </w:rPr>
        <w:tab/>
        <w:t xml:space="preserve">Ovom Odlukom utvrđuju se izmjene financijskih sredstava namjenjenih udrugama koje djeluju na području Općine Negoslavci za 2023. godinu.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/>
        </w:rPr>
      </w:pPr>
      <w:r>
        <w:rPr>
          <w:b/>
          <w:lang w:val="hr-HR"/>
        </w:rPr>
        <w:t>Članak 2.</w:t>
      </w:r>
    </w:p>
    <w:p>
      <w:pPr>
        <w:pStyle w:val="Normal"/>
        <w:bidi w:val="0"/>
        <w:jc w:val="both"/>
        <w:rPr>
          <w:lang w:val="hr-HR"/>
        </w:rPr>
      </w:pPr>
      <w:r>
        <w:rPr>
          <w:lang w:val="hr-HR"/>
        </w:rPr>
        <w:tab/>
        <w:t xml:space="preserve">Dodatna financijska sredstva za sufinanciranje udruga u provođenju njihovih programa/projekata dodjeljuju se za </w:t>
      </w:r>
      <w:r>
        <w:rPr>
          <w:rFonts w:eastAsia="Times New Roman"/>
          <w:kern w:val="0"/>
          <w:lang w:val="hr-HR" w:eastAsia="zh-CN"/>
        </w:rPr>
        <w:t>Nogometni klub Negoslavci u iznosu od 13.183,16</w:t>
      </w:r>
      <w:r>
        <w:rPr>
          <w:rFonts w:eastAsia="Times New Roman"/>
          <w:color w:val="000000"/>
          <w:kern w:val="0"/>
          <w:lang w:val="hr-HR" w:eastAsia="zh-CN"/>
        </w:rPr>
        <w:t xml:space="preserve"> EUR/99.328,52 KN te sveukupni iznos sufinanciranja za navedenu udrugu u 2023. godini iznosi </w:t>
      </w:r>
      <w:r>
        <w:rPr>
          <w:rFonts w:eastAsia="Times New Roman"/>
          <w:color w:val="000000"/>
          <w:kern w:val="0"/>
          <w:lang w:val="hr-HR" w:eastAsia="zh-CN"/>
        </w:rPr>
        <w:t>53</w:t>
      </w:r>
      <w:r>
        <w:rPr>
          <w:rFonts w:eastAsia="Times New Roman"/>
          <w:color w:val="000000"/>
          <w:kern w:val="0"/>
          <w:lang w:val="hr-HR" w:eastAsia="zh-CN"/>
        </w:rPr>
        <w:t>.000,00 EUR/399.328,5</w:t>
      </w:r>
      <w:r>
        <w:rPr>
          <w:rFonts w:eastAsia="Times New Roman"/>
          <w:color w:val="000000"/>
          <w:kern w:val="0"/>
          <w:lang w:val="hr-HR" w:eastAsia="zh-CN"/>
        </w:rPr>
        <w:t>0</w:t>
      </w:r>
      <w:r>
        <w:rPr>
          <w:rFonts w:eastAsia="Times New Roman"/>
          <w:color w:val="000000"/>
          <w:kern w:val="0"/>
          <w:lang w:val="hr-HR" w:eastAsia="zh-CN"/>
        </w:rPr>
        <w:t xml:space="preserve"> KN.</w:t>
      </w:r>
    </w:p>
    <w:p>
      <w:pPr>
        <w:pStyle w:val="Normal"/>
        <w:bidi w:val="0"/>
        <w:jc w:val="center"/>
        <w:rPr>
          <w:b/>
          <w:b/>
        </w:rPr>
      </w:pPr>
      <w:r>
        <w:rPr>
          <w:b/>
          <w:lang w:val="hr-HR"/>
        </w:rPr>
        <w:t>Članak 3.</w:t>
      </w:r>
    </w:p>
    <w:p>
      <w:pPr>
        <w:pStyle w:val="Normal"/>
        <w:bidi w:val="0"/>
        <w:jc w:val="both"/>
        <w:rPr/>
      </w:pPr>
      <w:r>
        <w:rPr/>
        <w:tab/>
        <w:t>Smanjuje se financiranje Športske ribolovne udruge „Dobra voda” za 995,84 EUR/7.465,48 KN te sveukupni iznos sufinanciranja za navedenu udrugu u 2023. godini iznosi 995,00 EUR/7.496,83 KN.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Članak 4.</w:t>
      </w:r>
    </w:p>
    <w:p>
      <w:pPr>
        <w:pStyle w:val="Normal"/>
        <w:bidi w:val="0"/>
        <w:jc w:val="both"/>
        <w:rPr/>
      </w:pPr>
      <w:r>
        <w:rPr/>
        <w:tab/>
        <w:t>Smanjuje se financiranje SKD Prosvjeta pododbor Negoslavci za 3.318,75 EUR/25.005,12 KN te sveukupni iznos sufinanciranja za navedenu udrugu u 2023. godini iznosi 3.981,00 EUR/29.994,84 KN.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Članak 5.</w:t>
      </w:r>
    </w:p>
    <w:p>
      <w:pPr>
        <w:pStyle w:val="Normal"/>
        <w:bidi w:val="0"/>
        <w:jc w:val="both"/>
        <w:rPr/>
      </w:pPr>
      <w:r>
        <w:rPr/>
        <w:tab/>
        <w:t>Smanjuje se financiranje Projekt centra Negoslavci za 2.590,35 EUR/19.516,99 KN te sveukupni iznos sufinanciranja za navedenu udrugu u 2023. godini iznosi 14.000,00 EUR/105.483,00 KN.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Članak 6.</w:t>
      </w:r>
    </w:p>
    <w:p>
      <w:pPr>
        <w:pStyle w:val="Normal"/>
        <w:bidi w:val="0"/>
        <w:jc w:val="both"/>
        <w:rPr/>
      </w:pPr>
      <w:r>
        <w:rPr/>
        <w:tab/>
        <w:t>Smanjuje se financiranje Škole nogometa Negis za 272,28 EUR/2051,49 KN te sveukupni iznos sufinanciranja za navedenu udrugu u 2023. godini iznosi 13.000,00 EUR/97.948,50 KN.</w:t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center"/>
        <w:rPr>
          <w:b/>
          <w:b/>
        </w:rPr>
      </w:pPr>
      <w:r>
        <w:rPr>
          <w:b/>
          <w:lang w:val="hr-HR"/>
        </w:rPr>
        <w:t>Č</w:t>
      </w:r>
      <w:r>
        <w:rPr>
          <w:b/>
          <w:bCs/>
          <w:lang w:val="hr-HR"/>
        </w:rPr>
        <w:t>lanak 7.</w:t>
      </w:r>
    </w:p>
    <w:p>
      <w:pPr>
        <w:pStyle w:val="Normal"/>
        <w:bidi w:val="0"/>
        <w:jc w:val="both"/>
        <w:rPr/>
      </w:pPr>
      <w:r>
        <w:rPr>
          <w:lang w:val="hr-HR"/>
        </w:rPr>
        <w:tab/>
        <w:t>Za realizaciju odredaba ove Odluke zadužuje se Jedinstveni upravni odjel Općine Negoslavci.</w:t>
      </w:r>
    </w:p>
    <w:p>
      <w:pPr>
        <w:pStyle w:val="Normal"/>
        <w:bidi w:val="0"/>
        <w:jc w:val="center"/>
        <w:rPr>
          <w:b/>
          <w:b/>
        </w:rPr>
      </w:pPr>
      <w:r>
        <w:rPr>
          <w:b/>
          <w:lang w:val="hr-HR"/>
        </w:rPr>
        <w:t>Članak 8.</w:t>
      </w:r>
    </w:p>
    <w:p>
      <w:pPr>
        <w:pStyle w:val="Normal"/>
        <w:bidi w:val="0"/>
        <w:jc w:val="both"/>
        <w:rPr>
          <w:color w:val="000000" w:themeColor="text1"/>
        </w:rPr>
      </w:pPr>
      <w:r>
        <w:rPr>
          <w:lang w:val="hr-HR"/>
        </w:rPr>
        <w:tab/>
      </w:r>
      <w:r>
        <w:rPr>
          <w:color w:val="000000" w:themeColor="text1"/>
          <w:lang w:val="hr-HR"/>
        </w:rPr>
        <w:t xml:space="preserve">Odluka stupa na snagu danom donošenja i objavit će se </w:t>
      </w:r>
      <w:r>
        <w:rPr>
          <w:color w:val="000000" w:themeColor="text1"/>
          <w:lang w:val="hr-HR"/>
        </w:rPr>
        <w:t>na internetskoj stranici Općine Negoslavci</w:t>
      </w:r>
    </w:p>
    <w:p>
      <w:pPr>
        <w:pStyle w:val="Normal"/>
        <w:bidi w:val="0"/>
        <w:jc w:val="left"/>
        <w:rPr>
          <w:b/>
          <w:b/>
          <w:lang w:val="hr-HR"/>
        </w:rPr>
      </w:pPr>
      <w:r>
        <w:rPr>
          <w:lang w:val="hr-HR"/>
        </w:rPr>
        <w:tab/>
        <w:tab/>
        <w:tab/>
        <w:tab/>
        <w:tab/>
        <w:tab/>
        <w:tab/>
        <w:tab/>
      </w:r>
      <w:r>
        <w:rPr>
          <w:b/>
          <w:lang w:val="hr-HR"/>
        </w:rPr>
        <w:t>OPĆINSKI NAČELNIK</w:t>
      </w:r>
    </w:p>
    <w:p>
      <w:pPr>
        <w:pStyle w:val="Normal"/>
        <w:bidi w:val="0"/>
        <w:jc w:val="left"/>
        <w:rPr/>
      </w:pPr>
      <w:r>
        <w:rPr>
          <w:lang w:val="hr-HR"/>
        </w:rPr>
        <w:tab/>
        <w:tab/>
        <w:tab/>
        <w:tab/>
        <w:tab/>
        <w:tab/>
        <w:tab/>
        <w:tab/>
        <w:t xml:space="preserve">           Dušan Jeckov</w:t>
      </w:r>
    </w:p>
    <w:p>
      <w:pPr>
        <w:pStyle w:val="Normal"/>
        <w:bidi w:val="0"/>
        <w:ind w:firstLine="708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150</TotalTime>
  <Application>LibreOffice/7.4.1.2$Windows_X86_64 LibreOffice_project/3c58a8f3a960df8bc8fd77b461821e42c061c5f0</Application>
  <AppVersion>15.0000</AppVersion>
  <Pages>1</Pages>
  <Words>262</Words>
  <Characters>1666</Characters>
  <CharactersWithSpaces>1945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2023-12-13T09:54:19Z</dcterms:created>
  <dc:creator/>
  <dc:description/>
  <dc:language>hr-HR</dc:language>
  <cp:lastModifiedBy/>
  <cp:lastPrinted>2024-06-05T13:28:06Z</cp:lastPrinted>
  <dcterms:modified xsi:type="dcterms:W3CDTF">2024-06-05T14:21:49Z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