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
          <w:lang w:val="hr-HR"/>
        </w:rPr>
      </w:pPr>
      <w:r>
        <w:rPr>
          <w:b/>
          <w:lang w:val="hr-HR"/>
        </w:rPr>
        <w:tab/>
        <w:tab/>
      </w:r>
      <w:r>
        <w:rPr/>
        <w:drawing>
          <wp:inline distT="0" distB="0" distL="0" distR="0">
            <wp:extent cx="476250" cy="600075"/>
            <wp:effectExtent l="0" t="0" r="0" b="0"/>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
                    <pic:cNvPicPr>
                      <a:picLocks noChangeAspect="1" noChangeArrowheads="1"/>
                    </pic:cNvPicPr>
                  </pic:nvPicPr>
                  <pic:blipFill>
                    <a:blip r:embed="rId2"/>
                    <a:stretch>
                      <a:fillRect/>
                    </a:stretch>
                  </pic:blipFill>
                  <pic:spPr bwMode="auto">
                    <a:xfrm>
                      <a:off x="0" y="0"/>
                      <a:ext cx="476250" cy="600075"/>
                    </a:xfrm>
                    <a:prstGeom prst="rect">
                      <a:avLst/>
                    </a:prstGeom>
                  </pic:spPr>
                </pic:pic>
              </a:graphicData>
            </a:graphic>
          </wp:inline>
        </w:drawing>
      </w:r>
    </w:p>
    <w:p>
      <w:pPr>
        <w:pStyle w:val="Normal"/>
        <w:jc w:val="both"/>
        <w:rPr>
          <w:b/>
          <w:b/>
          <w:lang w:val="hr-HR"/>
        </w:rPr>
      </w:pPr>
      <w:r>
        <w:rPr>
          <w:b/>
          <w:lang w:val="hr-HR"/>
        </w:rPr>
        <w:tab/>
        <w:t>REPUBLIKA HRVATSKA</w:t>
      </w:r>
    </w:p>
    <w:p>
      <w:pPr>
        <w:pStyle w:val="Normal"/>
        <w:jc w:val="both"/>
        <w:rPr>
          <w:b/>
          <w:b/>
          <w:lang w:val="hr-HR"/>
        </w:rPr>
      </w:pPr>
      <w:r>
        <w:rPr>
          <w:b/>
          <w:lang w:val="hr-HR"/>
        </w:rPr>
        <w:t>VUKOVARSKO-SRIJEMSKA ŽUPANIJA</w:t>
      </w:r>
    </w:p>
    <w:p>
      <w:pPr>
        <w:pStyle w:val="Normal"/>
        <w:jc w:val="both"/>
        <w:rPr>
          <w:b/>
          <w:b/>
          <w:lang w:val="hr-HR"/>
        </w:rPr>
      </w:pPr>
      <w:r>
        <w:rPr>
          <w:b/>
          <w:lang w:val="hr-HR"/>
        </w:rPr>
        <w:t>OPĆINA NEGOSLAVCI</w:t>
      </w:r>
    </w:p>
    <w:p>
      <w:pPr>
        <w:pStyle w:val="Normal"/>
        <w:jc w:val="both"/>
        <w:rPr>
          <w:b/>
          <w:b/>
          <w:lang w:val="hr-HR"/>
        </w:rPr>
      </w:pPr>
      <w:r>
        <w:rPr>
          <w:b/>
          <w:lang w:val="hr-HR"/>
        </w:rPr>
        <w:t>Općinski načelnik</w:t>
      </w:r>
    </w:p>
    <w:p>
      <w:pPr>
        <w:pStyle w:val="Normal"/>
        <w:rPr/>
      </w:pPr>
      <w:r>
        <w:rPr>
          <w:b/>
          <w:lang w:val="hr-HR"/>
        </w:rPr>
        <w:t>KLA</w:t>
      </w:r>
      <w:r>
        <w:rPr>
          <w:b/>
          <w:color w:val="000000"/>
          <w:lang w:val="hr-HR"/>
        </w:rPr>
        <w:t xml:space="preserve">SA: </w:t>
      </w:r>
      <w:r>
        <w:rPr>
          <w:color w:val="000000"/>
        </w:rPr>
        <w:t>007-02/24-01/0</w:t>
      </w:r>
      <w:r>
        <w:rPr>
          <w:color w:val="000000"/>
        </w:rPr>
        <w:t>1</w:t>
      </w:r>
    </w:p>
    <w:p>
      <w:pPr>
        <w:pStyle w:val="Normal"/>
        <w:jc w:val="both"/>
        <w:rPr>
          <w:color w:val="000000"/>
        </w:rPr>
      </w:pPr>
      <w:r>
        <w:rPr>
          <w:b/>
          <w:color w:val="000000"/>
          <w:lang w:val="hr-HR"/>
        </w:rPr>
        <w:t xml:space="preserve">URBROJ: </w:t>
      </w:r>
      <w:r>
        <w:rPr>
          <w:color w:val="000000"/>
          <w:lang w:val="hr-HR"/>
        </w:rPr>
        <w:t>2196-19-01-24-03</w:t>
      </w:r>
    </w:p>
    <w:p>
      <w:pPr>
        <w:pStyle w:val="Normal"/>
        <w:jc w:val="both"/>
        <w:rPr>
          <w:lang w:val="hr-HR"/>
        </w:rPr>
      </w:pPr>
      <w:r>
        <w:rPr>
          <w:b/>
          <w:lang w:val="hr-HR"/>
        </w:rPr>
        <w:t xml:space="preserve">Negoslavci, </w:t>
      </w:r>
      <w:r>
        <w:rPr>
          <w:b w:val="false"/>
          <w:bCs w:val="false"/>
          <w:color w:val="000000"/>
          <w:lang w:val="hr-HR"/>
        </w:rPr>
        <w:t>17</w:t>
      </w:r>
      <w:r>
        <w:rPr>
          <w:b w:val="false"/>
          <w:bCs w:val="false"/>
          <w:color w:val="000000"/>
          <w:lang w:val="hr-HR"/>
        </w:rPr>
        <w:t>. prosinca 2024.</w:t>
      </w:r>
      <w:r>
        <w:rPr>
          <w:b w:val="false"/>
          <w:bCs w:val="false"/>
          <w:color w:val="000000"/>
          <w:lang w:val="hr-HR"/>
        </w:rPr>
        <w:t xml:space="preserve"> godine</w:t>
      </w:r>
    </w:p>
    <w:p>
      <w:pPr>
        <w:pStyle w:val="Normal"/>
        <w:jc w:val="both"/>
        <w:rPr>
          <w:lang w:val="hr-HR"/>
        </w:rPr>
      </w:pPr>
      <w:r>
        <w:rPr>
          <w:lang w:val="hr-HR"/>
        </w:rPr>
      </w:r>
    </w:p>
    <w:p>
      <w:pPr>
        <w:pStyle w:val="Normal"/>
        <w:jc w:val="both"/>
        <w:rPr>
          <w:lang w:val="hr-HR"/>
        </w:rPr>
      </w:pPr>
      <w:r>
        <w:rPr>
          <w:lang w:val="hr-HR"/>
        </w:rPr>
        <w:tab/>
        <w:t>Na temelju članka 17. Pravilnika o sufinanciranju javnih potreba od interesa za opće dobro koje provode udruge na području Općine Negoslavci (</w:t>
      </w:r>
      <w:r>
        <w:rPr/>
        <w:t>KLASA: 007-02/19-01/01, URBROJ: 2196/06-01-19-01, od 17.01.2019. godine</w:t>
      </w:r>
      <w:r>
        <w:rPr>
          <w:lang w:val="hr-HR"/>
        </w:rPr>
        <w:t>) i članka 32., stavka 2., točke 2. Statuta Općine Negoslavci („Službeni glasnik Općine Negoslavci” broj 01/21 i 07/23), Općinski načelnik Općine Negos</w:t>
      </w:r>
      <w:r>
        <w:rPr>
          <w:color w:val="000000"/>
          <w:lang w:val="hr-HR"/>
        </w:rPr>
        <w:t xml:space="preserve">lavci dana </w:t>
      </w:r>
      <w:r>
        <w:rPr>
          <w:color w:val="000000"/>
          <w:lang w:val="hr-HR"/>
        </w:rPr>
        <w:t>17</w:t>
      </w:r>
      <w:r>
        <w:rPr>
          <w:color w:val="000000"/>
          <w:lang w:val="hr-HR"/>
        </w:rPr>
        <w:t>.12.202</w:t>
      </w:r>
      <w:r>
        <w:rPr>
          <w:color w:val="000000"/>
          <w:lang w:val="hr-HR"/>
        </w:rPr>
        <w:t>4</w:t>
      </w:r>
      <w:r>
        <w:rPr>
          <w:color w:val="000000"/>
          <w:lang w:val="hr-HR"/>
        </w:rPr>
        <w:t xml:space="preserve">. </w:t>
      </w:r>
      <w:r>
        <w:rPr>
          <w:color w:val="000000"/>
          <w:lang w:val="hr-HR"/>
        </w:rPr>
        <w:t>godine donosi</w:t>
      </w:r>
    </w:p>
    <w:p>
      <w:pPr>
        <w:pStyle w:val="Normal"/>
        <w:jc w:val="both"/>
        <w:rPr>
          <w:lang w:val="hr-HR"/>
        </w:rPr>
      </w:pPr>
      <w:r>
        <w:rPr>
          <w:lang w:val="hr-HR"/>
        </w:rPr>
      </w:r>
    </w:p>
    <w:p>
      <w:pPr>
        <w:pStyle w:val="Normal"/>
        <w:jc w:val="center"/>
        <w:rPr>
          <w:b/>
          <w:b/>
          <w:lang w:val="hr-HR"/>
        </w:rPr>
      </w:pPr>
      <w:r>
        <w:rPr>
          <w:b/>
          <w:lang w:val="hr-HR"/>
        </w:rPr>
        <w:t xml:space="preserve">ODLUKU </w:t>
      </w:r>
    </w:p>
    <w:p>
      <w:pPr>
        <w:pStyle w:val="Normal"/>
        <w:jc w:val="center"/>
        <w:rPr>
          <w:b/>
          <w:b/>
          <w:lang w:val="hr-HR"/>
        </w:rPr>
      </w:pPr>
      <w:r>
        <w:rPr>
          <w:b/>
          <w:lang w:val="hr-HR"/>
        </w:rPr>
        <w:t>o imenovanju Povjerenstva za administrativnu i procjenjivačku provjeru ispunjavanja propisanih uvjeta natječaja za udruge</w:t>
      </w:r>
    </w:p>
    <w:p>
      <w:pPr>
        <w:pStyle w:val="Normal"/>
        <w:jc w:val="center"/>
        <w:rPr>
          <w:b/>
          <w:b/>
          <w:lang w:val="hr-HR"/>
        </w:rPr>
      </w:pPr>
      <w:r>
        <w:rPr>
          <w:b/>
          <w:lang w:val="hr-HR"/>
        </w:rPr>
      </w:r>
    </w:p>
    <w:p>
      <w:pPr>
        <w:pStyle w:val="Normal"/>
        <w:jc w:val="center"/>
        <w:rPr>
          <w:b/>
          <w:b/>
          <w:lang w:val="hr-HR"/>
        </w:rPr>
      </w:pPr>
      <w:r>
        <w:rPr>
          <w:b/>
          <w:lang w:val="hr-HR"/>
        </w:rPr>
        <w:t>Članak 1.</w:t>
      </w:r>
    </w:p>
    <w:p>
      <w:pPr>
        <w:pStyle w:val="Normal"/>
        <w:jc w:val="both"/>
        <w:rPr>
          <w:lang w:val="hr-HR"/>
        </w:rPr>
      </w:pPr>
      <w:r>
        <w:rPr>
          <w:lang w:val="hr-HR"/>
        </w:rPr>
        <w:tab/>
        <w:t>Osniva</w:t>
      </w:r>
      <w:r>
        <w:rPr>
          <w:color w:val="000000"/>
          <w:lang w:val="hr-HR"/>
        </w:rPr>
        <w:t xml:space="preserve"> se Povjerenstvo za administrativnu i procjenjivačku provjeru ispunjavanja propisanih uvjeta natječaja za udruge, u sljedećem sastavu:</w:t>
      </w:r>
    </w:p>
    <w:p>
      <w:pPr>
        <w:pStyle w:val="ListParagraph"/>
        <w:numPr>
          <w:ilvl w:val="0"/>
          <w:numId w:val="2"/>
        </w:numPr>
        <w:jc w:val="both"/>
        <w:rPr>
          <w:color w:val="000000"/>
        </w:rPr>
      </w:pPr>
      <w:r>
        <w:rPr>
          <w:color w:val="000000"/>
          <w:lang w:val="hr-HR"/>
        </w:rPr>
        <w:t>Živko Vukosavljević – predsjednik,</w:t>
      </w:r>
    </w:p>
    <w:p>
      <w:pPr>
        <w:pStyle w:val="ListParagraph"/>
        <w:numPr>
          <w:ilvl w:val="0"/>
          <w:numId w:val="2"/>
        </w:numPr>
        <w:jc w:val="both"/>
        <w:rPr>
          <w:color w:val="000000"/>
        </w:rPr>
      </w:pPr>
      <w:r>
        <w:rPr>
          <w:color w:val="000000"/>
          <w:lang w:val="hr-HR"/>
        </w:rPr>
        <w:t>Ljiljana Vlaškalić – član,</w:t>
      </w:r>
    </w:p>
    <w:p>
      <w:pPr>
        <w:pStyle w:val="ListParagraph"/>
        <w:numPr>
          <w:ilvl w:val="0"/>
          <w:numId w:val="2"/>
        </w:numPr>
        <w:jc w:val="both"/>
        <w:rPr>
          <w:color w:val="000000"/>
        </w:rPr>
      </w:pPr>
      <w:r>
        <w:rPr>
          <w:color w:val="000000"/>
          <w:lang w:val="hr-HR"/>
        </w:rPr>
        <w:t>Sanja Sredojević – član.</w:t>
      </w:r>
    </w:p>
    <w:p>
      <w:pPr>
        <w:pStyle w:val="Normal"/>
        <w:jc w:val="both"/>
        <w:rPr>
          <w:lang w:val="hr-HR"/>
        </w:rPr>
      </w:pPr>
      <w:r>
        <w:rPr>
          <w:lang w:val="hr-HR"/>
        </w:rPr>
      </w:r>
    </w:p>
    <w:p>
      <w:pPr>
        <w:pStyle w:val="Normal"/>
        <w:jc w:val="center"/>
        <w:rPr>
          <w:b/>
          <w:b/>
          <w:lang w:val="hr-HR"/>
        </w:rPr>
      </w:pPr>
      <w:r>
        <w:rPr>
          <w:b/>
          <w:lang w:val="hr-HR"/>
        </w:rPr>
        <w:t>Članak 2.</w:t>
      </w:r>
    </w:p>
    <w:p>
      <w:pPr>
        <w:pStyle w:val="Normal"/>
        <w:jc w:val="both"/>
        <w:rPr>
          <w:lang w:val="hr-HR"/>
        </w:rPr>
      </w:pPr>
      <w:r>
        <w:rPr>
          <w:lang w:val="hr-HR"/>
        </w:rPr>
        <w:tab/>
        <w:t xml:space="preserve">Povjerenstvo u postupku ocjenjivanja razmatra i ocjenjuje prijave za Javni natječaj za sufinanciranje udruga građana koje djeluju na području Općine Negoslavci, koje su ispunile formalne uvjete natječaja sukladno kriterijima koji su propisani uputama za prijavitelje te daje prijedlog čije se prijave upućuju u daljnju proceduru, odnosno ocjenu kvalitete/vrijednosti programa ili projekta. </w:t>
      </w:r>
    </w:p>
    <w:p>
      <w:pPr>
        <w:pStyle w:val="Normal"/>
        <w:jc w:val="both"/>
        <w:rPr>
          <w:b/>
          <w:b/>
          <w:szCs w:val="24"/>
          <w:lang w:val="hr-HR"/>
        </w:rPr>
      </w:pPr>
      <w:r>
        <w:rPr>
          <w:lang w:val="hr-HR"/>
        </w:rPr>
        <w:tab/>
        <w:t xml:space="preserve"> Povjerenstvo svaki prijavljeni projekt/program, koji je ispunio formalne uvjete natječaja ocjenjuje te formira listu rezultata za svaku kategoriju na osnovu koje daje prijedlog Općinskom načelniku za odobravanje financijskih sredstava za programe/projekte.</w:t>
      </w:r>
    </w:p>
    <w:p>
      <w:pPr>
        <w:pStyle w:val="Normal"/>
        <w:jc w:val="both"/>
        <w:rPr>
          <w:lang w:val="hr-HR"/>
        </w:rPr>
      </w:pPr>
      <w:r>
        <w:rPr>
          <w:lang w:val="hr-HR"/>
        </w:rPr>
      </w:r>
    </w:p>
    <w:p>
      <w:pPr>
        <w:pStyle w:val="Normal"/>
        <w:jc w:val="center"/>
        <w:rPr>
          <w:b/>
          <w:b/>
          <w:lang w:val="hr-HR"/>
        </w:rPr>
      </w:pPr>
      <w:r>
        <w:rPr>
          <w:b/>
          <w:lang w:val="hr-HR"/>
        </w:rPr>
        <w:t>Članak 3.</w:t>
      </w:r>
    </w:p>
    <w:p>
      <w:pPr>
        <w:pStyle w:val="Normal"/>
        <w:rPr>
          <w:lang w:val="hr-HR"/>
        </w:rPr>
      </w:pPr>
      <w:r>
        <w:rPr>
          <w:lang w:val="hr-HR"/>
        </w:rPr>
        <w:tab/>
        <w:t>Ova Odluka stupa na snagu danom donošenja.</w:t>
      </w:r>
    </w:p>
    <w:p>
      <w:pPr>
        <w:pStyle w:val="Normal"/>
        <w:rPr>
          <w:lang w:val="hr-HR"/>
        </w:rPr>
      </w:pPr>
      <w:r>
        <w:rPr>
          <w:lang w:val="hr-HR"/>
        </w:rPr>
      </w:r>
    </w:p>
    <w:p>
      <w:pPr>
        <w:pStyle w:val="Normal"/>
        <w:rPr>
          <w:lang w:val="hr-HR"/>
        </w:rPr>
      </w:pPr>
      <w:r>
        <w:rPr>
          <w:lang w:val="hr-HR"/>
        </w:rPr>
      </w:r>
    </w:p>
    <w:p>
      <w:pPr>
        <w:pStyle w:val="Normal"/>
        <w:rPr>
          <w:lang w:val="hr-HR"/>
        </w:rPr>
      </w:pPr>
      <w:r>
        <w:rPr>
          <w:lang w:val="hr-HR"/>
        </w:rPr>
      </w:r>
    </w:p>
    <w:p>
      <w:pPr>
        <w:pStyle w:val="Normal"/>
        <w:jc w:val="right"/>
        <w:rPr>
          <w:b/>
          <w:b/>
          <w:lang w:val="hr-HR"/>
        </w:rPr>
      </w:pPr>
      <w:r>
        <w:rPr>
          <w:b/>
          <w:lang w:val="hr-HR"/>
        </w:rPr>
        <w:t>OPĆINSKI NAČELNIK</w:t>
      </w:r>
    </w:p>
    <w:p>
      <w:pPr>
        <w:pStyle w:val="Normal"/>
        <w:jc w:val="right"/>
        <w:rPr>
          <w:lang w:val="hr-HR"/>
        </w:rPr>
      </w:pPr>
      <w:r>
        <w:rPr>
          <w:lang w:val="hr-HR"/>
        </w:rPr>
        <w:t>Dušan Jeckov</w:t>
      </w:r>
    </w:p>
    <w:sectPr>
      <w:type w:val="nextPage"/>
      <w:pgSz w:w="12240" w:h="15840"/>
      <w:pgMar w:left="1440" w:right="1440" w:gutter="0" w:header="0" w:top="993"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2c4f"/>
    <w:pPr>
      <w:widowControl/>
      <w:suppressAutoHyphens w:val="true"/>
      <w:bidi w:val="0"/>
      <w:spacing w:before="0" w:after="0"/>
      <w:jc w:val="left"/>
    </w:pPr>
    <w:rPr>
      <w:rFonts w:ascii="Times New Roman" w:hAnsi="Times New Roman"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uiPriority w:val="34"/>
    <w:qFormat/>
    <w:rsid w:val="001a2c4f"/>
    <w:pPr>
      <w:spacing w:before="0" w:after="0"/>
      <w:ind w:left="720" w:hanging="0"/>
      <w:contextualSpacing/>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LibreOffice/7.4.1.2$Windows_X86_64 LibreOffice_project/3c58a8f3a960df8bc8fd77b461821e42c061c5f0</Application>
  <AppVersion>15.0000</AppVersion>
  <Pages>1</Pages>
  <Words>214</Words>
  <Characters>1472</Characters>
  <CharactersWithSpaces>1675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2022-04-01T10:45:00Z</dcterms:created>
  <dc:creator>Korisnik</dc:creator>
  <dc:description/>
  <dc:language>hr-HR</dc:language>
  <cp:lastModifiedBy/>
  <dcterms:modified xsi:type="dcterms:W3CDTF">2024-12-18T10:13:27Z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