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eastAsia="Calibri" w:cs="Times New Roman"/>
          <w:b/>
          <w:b/>
        </w:rPr>
      </w:pPr>
      <w:r>
        <w:rPr>
          <w:rFonts w:eastAsia="Calibri" w:cs="Times New Roman"/>
          <w:b/>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rFonts w:eastAsia="Calibri" w:cs="Times New Roman"/>
          <w:b/>
          <w:b/>
        </w:rPr>
      </w:pPr>
      <w:r>
        <w:rPr>
          <w:rFonts w:eastAsia="Calibri" w:cs="Times New Roman"/>
          <w:b/>
        </w:rPr>
        <w:tab/>
        <w:t>REPUBLIKA HRVATSKA</w:t>
      </w:r>
    </w:p>
    <w:p>
      <w:pPr>
        <w:pStyle w:val="Normal"/>
        <w:jc w:val="both"/>
        <w:rPr>
          <w:rFonts w:eastAsia="Calibri" w:cs="Times New Roman"/>
          <w:b/>
          <w:b/>
        </w:rPr>
      </w:pPr>
      <w:r>
        <w:rPr>
          <w:rFonts w:eastAsia="Calibri" w:cs="Times New Roman"/>
          <w:b/>
        </w:rPr>
        <w:t>VUKOVARSKO-SRIJEMSKA ŽUPANIJA</w:t>
      </w:r>
    </w:p>
    <w:p>
      <w:pPr>
        <w:pStyle w:val="Normal"/>
        <w:jc w:val="both"/>
        <w:rPr>
          <w:rFonts w:eastAsia="Calibri" w:cs="Times New Roman"/>
          <w:b/>
          <w:b/>
        </w:rPr>
      </w:pPr>
      <w:r>
        <w:rPr>
          <w:rFonts w:eastAsia="Calibri" w:cs="Times New Roman"/>
          <w:b/>
        </w:rPr>
        <w:t>OPĆINA NEGOSLAVCI</w:t>
      </w:r>
    </w:p>
    <w:p>
      <w:pPr>
        <w:pStyle w:val="Normal"/>
        <w:jc w:val="both"/>
        <w:rPr>
          <w:rFonts w:eastAsia="Calibri" w:cs="Times New Roman"/>
          <w:b/>
          <w:b/>
        </w:rPr>
      </w:pPr>
      <w:r>
        <w:rPr>
          <w:rFonts w:eastAsia="Calibri" w:cs="Times New Roman"/>
          <w:b/>
        </w:rPr>
        <w:t>Općinsko vijeće</w:t>
      </w:r>
    </w:p>
    <w:p>
      <w:pPr>
        <w:pStyle w:val="Normal"/>
        <w:jc w:val="both"/>
        <w:rPr>
          <w:rFonts w:eastAsia="Calibri" w:cs="Times New Roman"/>
        </w:rPr>
      </w:pPr>
      <w:r>
        <w:rPr>
          <w:rFonts w:eastAsia="Calibri" w:cs="Times New Roman"/>
          <w:b/>
        </w:rPr>
        <w:t xml:space="preserve">KLASA: </w:t>
      </w:r>
      <w:r>
        <w:rPr>
          <w:rFonts w:eastAsia="Calibri" w:cs="Times New Roman"/>
          <w:color w:val="000000"/>
        </w:rPr>
        <w:t>400-02/24-01/01</w:t>
      </w:r>
    </w:p>
    <w:p>
      <w:pPr>
        <w:pStyle w:val="Normal"/>
        <w:jc w:val="both"/>
        <w:rPr>
          <w:rFonts w:eastAsia="Calibri" w:cs="Times New Roman"/>
        </w:rPr>
      </w:pPr>
      <w:r>
        <w:rPr>
          <w:rFonts w:eastAsia="Calibri" w:cs="Times New Roman"/>
          <w:b/>
        </w:rPr>
        <w:t xml:space="preserve">URBROJ: </w:t>
      </w:r>
      <w:r>
        <w:rPr>
          <w:rFonts w:eastAsia="Calibri" w:cs="Times New Roman"/>
          <w:color w:val="000000"/>
        </w:rPr>
        <w:t>2196-19-02-24-24</w:t>
      </w:r>
    </w:p>
    <w:p>
      <w:pPr>
        <w:pStyle w:val="Normal"/>
        <w:jc w:val="both"/>
        <w:rPr>
          <w:rFonts w:eastAsia="Calibri" w:cs="Times New Roman"/>
        </w:rPr>
      </w:pPr>
      <w:r>
        <w:rPr>
          <w:rFonts w:eastAsia="Calibri" w:cs="Times New Roman"/>
          <w:b/>
        </w:rPr>
        <w:t xml:space="preserve">Negoslavci, </w:t>
      </w:r>
      <w:r>
        <w:rPr>
          <w:rFonts w:eastAsia="Calibri" w:cs="Times New Roman"/>
        </w:rPr>
        <w:t>24. prosinca 2024. godine</w:t>
      </w:r>
    </w:p>
    <w:p>
      <w:pPr>
        <w:pStyle w:val="Normal"/>
        <w:rPr>
          <w:rFonts w:eastAsia="Calibri" w:cs="Times New Roman"/>
          <w:b/>
          <w:b/>
        </w:rPr>
      </w:pPr>
      <w:r>
        <w:rPr>
          <w:rFonts w:eastAsia="Calibri" w:cs="Times New Roman"/>
          <w:b/>
        </w:rPr>
      </w:r>
    </w:p>
    <w:p>
      <w:pPr>
        <w:pStyle w:val="Normal"/>
        <w:jc w:val="both"/>
        <w:rPr>
          <w:rFonts w:eastAsia="Calibri" w:cs="Times New Roman"/>
        </w:rPr>
      </w:pPr>
      <w:r>
        <w:rPr>
          <w:rFonts w:eastAsia="Calibri" w:cs="Times New Roman"/>
        </w:rPr>
        <w:tab/>
        <w:t>Na temelju članka 7., stavka 1. Zakona o financiranju političkih aktivnosti, izborne promidžbe i referenduma („Narodne novine“ broj 29/19 i 98/19) i članka 19., stavka 1., točke 2. Statuta Općine Negoslavci („Službeni glasnik Općine Negoslavci” broj 1/21 i 7/23), Općinsko vijeće na svojoj redovnoj sjednici održanoj dana 24.12.2024. godine donosi</w:t>
      </w:r>
    </w:p>
    <w:p>
      <w:pPr>
        <w:pStyle w:val="Normal"/>
        <w:rPr>
          <w:rFonts w:eastAsia="Calibri" w:cs="Times New Roman"/>
        </w:rPr>
      </w:pPr>
      <w:r>
        <w:rPr>
          <w:rFonts w:eastAsia="Calibri" w:cs="Times New Roman"/>
        </w:rPr>
      </w:r>
    </w:p>
    <w:p>
      <w:pPr>
        <w:pStyle w:val="Normal"/>
        <w:keepNext w:val="true"/>
        <w:numPr>
          <w:ilvl w:val="0"/>
          <w:numId w:val="0"/>
        </w:numPr>
        <w:ind w:left="0" w:hanging="0"/>
        <w:jc w:val="center"/>
        <w:outlineLvl w:val="0"/>
        <w:rPr>
          <w:rFonts w:eastAsia="Calibri" w:cs="Times New Roman"/>
          <w:b/>
          <w:b/>
        </w:rPr>
      </w:pPr>
      <w:bookmarkStart w:id="0" w:name="_Toc62727859"/>
      <w:r>
        <w:rPr>
          <w:rFonts w:eastAsia="Calibri" w:cs="Times New Roman"/>
          <w:b/>
        </w:rPr>
        <w:t>Odluku o raspoređivanju sredstava za financiranje političkih stranaka za 2025. godinu</w:t>
      </w:r>
      <w:bookmarkEnd w:id="0"/>
    </w:p>
    <w:p>
      <w:pPr>
        <w:pStyle w:val="Normal"/>
        <w:jc w:val="center"/>
        <w:rPr>
          <w:rFonts w:eastAsia="Calibri" w:cs="Times New Roman"/>
          <w:b/>
          <w:b/>
        </w:rPr>
      </w:pPr>
      <w:r>
        <w:rPr>
          <w:rFonts w:eastAsia="Calibri" w:cs="Times New Roman"/>
          <w:b/>
        </w:rPr>
      </w:r>
    </w:p>
    <w:p>
      <w:pPr>
        <w:pStyle w:val="Normal"/>
        <w:jc w:val="center"/>
        <w:rPr>
          <w:rFonts w:eastAsia="Calibri" w:cs="Times New Roman"/>
          <w:b/>
          <w:b/>
        </w:rPr>
      </w:pPr>
      <w:r>
        <w:rPr>
          <w:rFonts w:eastAsia="Calibri" w:cs="Times New Roman"/>
          <w:b/>
        </w:rPr>
        <w:t>Članak 1.</w:t>
      </w:r>
    </w:p>
    <w:p>
      <w:pPr>
        <w:pStyle w:val="Normal"/>
        <w:widowControl w:val="false"/>
        <w:jc w:val="both"/>
        <w:rPr>
          <w:rFonts w:eastAsia="Andale Sans UI" w:cs="Times New Roman"/>
        </w:rPr>
      </w:pPr>
      <w:r>
        <w:rPr>
          <w:rFonts w:eastAsia="Calibri" w:cs="Times New Roman"/>
        </w:rPr>
        <w:tab/>
      </w:r>
      <w:r>
        <w:rPr>
          <w:rFonts w:eastAsia="Calibri" w:cs="Times New Roman"/>
          <w:color w:val="00000A"/>
        </w:rPr>
        <w:t xml:space="preserve">Ovom Odlukom raspoređuju se sredstva za financiranje političkih stranaka zastupljenih u Općinskom vijeću Općine Negoslavci za vremensko razdoblje 01.01.2025. do 31.12.2025. godine, koja se osiguravaju u općinskom proračunu za 2025. godinu. </w:t>
      </w:r>
    </w:p>
    <w:p>
      <w:pPr>
        <w:pStyle w:val="Normal"/>
        <w:widowControl w:val="false"/>
        <w:jc w:val="both"/>
        <w:rPr>
          <w:rFonts w:eastAsia="Calibri" w:cs="Times New Roman"/>
          <w:color w:val="00000A"/>
        </w:rPr>
      </w:pPr>
      <w:r>
        <w:rPr>
          <w:rFonts w:eastAsia="Calibri" w:cs="Times New Roman"/>
          <w:color w:val="00000A"/>
        </w:rPr>
      </w:r>
    </w:p>
    <w:p>
      <w:pPr>
        <w:pStyle w:val="Normal"/>
        <w:jc w:val="center"/>
        <w:rPr>
          <w:rFonts w:eastAsia="Calibri" w:cs="Times New Roman"/>
          <w:b/>
          <w:b/>
        </w:rPr>
      </w:pPr>
      <w:r>
        <w:rPr>
          <w:rFonts w:eastAsia="Calibri" w:cs="Times New Roman"/>
          <w:b/>
        </w:rPr>
        <w:t>Članak 2.</w:t>
      </w:r>
    </w:p>
    <w:p>
      <w:pPr>
        <w:pStyle w:val="Normal"/>
        <w:widowControl w:val="false"/>
        <w:jc w:val="both"/>
        <w:rPr>
          <w:rFonts w:eastAsia="Calibri" w:cs="Times New Roman"/>
        </w:rPr>
      </w:pPr>
      <w:r>
        <w:rPr>
          <w:rFonts w:eastAsia="Calibri" w:cs="Times New Roman"/>
        </w:rPr>
        <w:tab/>
      </w:r>
      <w:r>
        <w:rPr>
          <w:rFonts w:eastAsia="Calibri" w:cs="Times New Roman"/>
          <w:color w:val="00000A"/>
        </w:rPr>
        <w:t>U proračunu Općine Negoslavci za 2025. godinu osigurana su sredstva za financiranje političkih stranaka zastupljenih u Općinskom vijeću u iznosu od</w:t>
      </w:r>
      <w:r>
        <w:rPr>
          <w:rFonts w:eastAsia="Calibri" w:cs="Times New Roman"/>
        </w:rPr>
        <w:t xml:space="preserve"> 6.000,00 eura.</w:t>
      </w:r>
    </w:p>
    <w:p>
      <w:pPr>
        <w:pStyle w:val="Normal"/>
        <w:rPr>
          <w:rFonts w:eastAsia="Calibri" w:cs="Times New Roman"/>
        </w:rPr>
      </w:pPr>
      <w:r>
        <w:rPr>
          <w:rFonts w:eastAsia="Calibri" w:cs="Times New Roman"/>
        </w:rPr>
      </w:r>
    </w:p>
    <w:p>
      <w:pPr>
        <w:pStyle w:val="Normal"/>
        <w:jc w:val="center"/>
        <w:rPr>
          <w:rFonts w:eastAsia="Calibri" w:cs="Times New Roman"/>
          <w:b/>
          <w:b/>
        </w:rPr>
      </w:pPr>
      <w:r>
        <w:rPr>
          <w:rFonts w:eastAsia="Calibri" w:cs="Times New Roman"/>
          <w:b/>
        </w:rPr>
        <w:t>Članak 3.</w:t>
      </w:r>
    </w:p>
    <w:p>
      <w:pPr>
        <w:pStyle w:val="Normal"/>
        <w:jc w:val="both"/>
        <w:rPr>
          <w:rFonts w:eastAsia="Calibri" w:cs="Times New Roman"/>
          <w:color w:val="00000A"/>
        </w:rPr>
      </w:pPr>
      <w:r>
        <w:rPr>
          <w:rFonts w:eastAsia="Calibri" w:cs="Times New Roman"/>
        </w:rPr>
        <w:tab/>
      </w:r>
      <w:r>
        <w:rPr>
          <w:rFonts w:eastAsia="Calibri" w:cs="Times New Roman"/>
          <w:color w:val="00000A"/>
        </w:rPr>
        <w:t>Za svakog člana Općinskog vijeća utvrđuje se jednaki iznos sredstava tako da pojedinoj političkoj stranci, odnosno članovima predstavničkog tijela izabranim sa liste grupe birača pripadaju sredstva razmjerno broju njenih članova Općinskog vijeća u trenutku konstituiranja.</w:t>
      </w:r>
    </w:p>
    <w:p>
      <w:pPr>
        <w:pStyle w:val="Normal"/>
        <w:jc w:val="both"/>
        <w:rPr>
          <w:rFonts w:eastAsia="Calibri" w:cs="Times New Roman"/>
          <w:color w:val="00000A"/>
        </w:rPr>
      </w:pPr>
      <w:r>
        <w:rPr>
          <w:rFonts w:eastAsia="Calibri" w:cs="Times New Roman"/>
          <w:color w:val="00000A"/>
        </w:rPr>
      </w:r>
    </w:p>
    <w:p>
      <w:pPr>
        <w:pStyle w:val="Normal"/>
        <w:jc w:val="center"/>
        <w:rPr>
          <w:rFonts w:eastAsia="Calibri" w:cs="Times New Roman"/>
          <w:b/>
          <w:b/>
        </w:rPr>
      </w:pPr>
      <w:r>
        <w:rPr>
          <w:rFonts w:eastAsia="Calibri" w:cs="Times New Roman"/>
          <w:b/>
        </w:rPr>
        <w:t>Članak 4.</w:t>
      </w:r>
    </w:p>
    <w:p>
      <w:pPr>
        <w:pStyle w:val="Normal"/>
        <w:widowControl w:val="false"/>
        <w:jc w:val="both"/>
        <w:rPr>
          <w:rFonts w:eastAsia="Andale Sans UI" w:cs="Times New Roman"/>
        </w:rPr>
      </w:pPr>
      <w:r>
        <w:rPr>
          <w:rFonts w:eastAsia="Calibri" w:cs="Times New Roman"/>
          <w:b/>
        </w:rPr>
        <w:tab/>
      </w:r>
      <w:r>
        <w:rPr>
          <w:rFonts w:eastAsia="Calibri" w:cs="Times New Roman"/>
          <w:color w:val="00000A"/>
        </w:rPr>
        <w:t>Za svakog člana Općinskog vijeća utvrđuje se iznos sredstava od 858,14 EUR na godišnjoj razini.</w:t>
      </w:r>
    </w:p>
    <w:p>
      <w:pPr>
        <w:pStyle w:val="Normal"/>
        <w:widowControl w:val="false"/>
        <w:jc w:val="both"/>
        <w:rPr>
          <w:rFonts w:eastAsia="Andale Sans UI" w:cs="Times New Roman"/>
        </w:rPr>
      </w:pPr>
      <w:r>
        <w:rPr>
          <w:rFonts w:eastAsia="Calibri" w:cs="Times New Roman"/>
          <w:color w:val="00000A"/>
        </w:rPr>
        <w:tab/>
        <w:t>Naknada za podzastupljen spol se ne isplaćuje s obzirom da u Općinskom vijeću ima više od 40% zastupljena oba spola, sukladno članku 9. Zakona o financiranju političkih aktivnosti, izborne promidžbe i referenduma.</w:t>
      </w:r>
    </w:p>
    <w:p>
      <w:pPr>
        <w:pStyle w:val="Normal"/>
        <w:jc w:val="both"/>
        <w:rPr>
          <w:rFonts w:eastAsia="Calibri" w:cs="Times New Roman"/>
        </w:rPr>
      </w:pPr>
      <w:r>
        <w:rPr>
          <w:rFonts w:eastAsia="Calibri" w:cs="Times New Roman"/>
        </w:rPr>
      </w:r>
    </w:p>
    <w:p>
      <w:pPr>
        <w:pStyle w:val="Normal"/>
        <w:jc w:val="center"/>
        <w:rPr>
          <w:rFonts w:eastAsia="Calibri" w:cs="Times New Roman"/>
          <w:b/>
          <w:b/>
        </w:rPr>
      </w:pPr>
      <w:r>
        <w:rPr>
          <w:rFonts w:eastAsia="Calibri" w:cs="Times New Roman"/>
          <w:b/>
        </w:rPr>
        <w:t>Članak 5.</w:t>
      </w:r>
    </w:p>
    <w:p>
      <w:pPr>
        <w:pStyle w:val="Normal"/>
        <w:widowControl w:val="false"/>
        <w:jc w:val="both"/>
        <w:rPr>
          <w:rFonts w:eastAsia="Calibri" w:cs="Times New Roman"/>
          <w:color w:val="00000A"/>
        </w:rPr>
      </w:pPr>
      <w:r>
        <w:rPr>
          <w:rFonts w:eastAsia="Calibri" w:cs="Times New Roman"/>
          <w:color w:val="00000A"/>
        </w:rPr>
        <w:tab/>
        <w:t>Političkim strankama zastupljenim u Općinskom vijeću raspoređuju se sredstva osigurana u proračunu Općine Negoslavci za vremensko razdoblje 2025. godinu na način utvrđen u članku 3. ove Odluke u iznosima kako slijedi:</w:t>
      </w:r>
    </w:p>
    <w:p>
      <w:pPr>
        <w:pStyle w:val="Normal"/>
        <w:rPr>
          <w:rFonts w:eastAsia="Calibri" w:cs="Times New Roman"/>
          <w:color w:val="00000A"/>
        </w:rPr>
      </w:pPr>
      <w:r>
        <w:rPr>
          <w:rFonts w:eastAsia="Calibri" w:cs="Times New Roman"/>
          <w:color w:val="00000A"/>
        </w:rPr>
      </w:r>
      <w:r>
        <w:br w:type="page"/>
      </w:r>
    </w:p>
    <w:tbl>
      <w:tblPr>
        <w:tblW w:w="7998" w:type="dxa"/>
        <w:jc w:val="center"/>
        <w:tblInd w:w="0" w:type="dxa"/>
        <w:tblLayout w:type="fixed"/>
        <w:tblCellMar>
          <w:top w:w="0" w:type="dxa"/>
          <w:left w:w="22" w:type="dxa"/>
          <w:bottom w:w="0" w:type="dxa"/>
          <w:right w:w="5" w:type="dxa"/>
        </w:tblCellMar>
        <w:tblLook w:firstRow="0" w:noVBand="0" w:lastRow="0" w:firstColumn="0" w:lastColumn="0" w:noHBand="0" w:val="0000"/>
      </w:tblPr>
      <w:tblGrid>
        <w:gridCol w:w="3443"/>
        <w:gridCol w:w="1998"/>
        <w:gridCol w:w="2557"/>
      </w:tblGrid>
      <w:tr>
        <w:trPr>
          <w:trHeight w:val="287" w:hRule="atLeast"/>
        </w:trPr>
        <w:tc>
          <w:tcPr>
            <w:tcW w:w="3443"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jc w:val="center"/>
              <w:rPr>
                <w:rFonts w:eastAsia="Andale Sans UI" w:cs="Times New Roman"/>
                <w:b/>
                <w:b/>
              </w:rPr>
            </w:pPr>
            <w:r>
              <w:rPr>
                <w:rFonts w:eastAsia="Andale Sans UI" w:cs="Times New Roman"/>
                <w:b/>
              </w:rPr>
              <w:t>Naziv političke stranke</w:t>
            </w:r>
          </w:p>
        </w:tc>
        <w:tc>
          <w:tcPr>
            <w:tcW w:w="1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Andale Sans UI" w:cs="Times New Roman"/>
                <w:b/>
                <w:b/>
              </w:rPr>
            </w:pPr>
            <w:r>
              <w:rPr>
                <w:rFonts w:eastAsia="Andale Sans UI" w:cs="Times New Roman"/>
                <w:b/>
              </w:rPr>
              <w:t>Broj vijećnika</w:t>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Andale Sans UI" w:cs="Times New Roman"/>
                <w:b/>
                <w:b/>
              </w:rPr>
            </w:pPr>
            <w:r>
              <w:rPr>
                <w:rFonts w:eastAsia="Andale Sans UI" w:cs="Times New Roman"/>
                <w:b/>
              </w:rPr>
              <w:t xml:space="preserve">Iznos u kunama </w:t>
            </w:r>
          </w:p>
          <w:p>
            <w:pPr>
              <w:pStyle w:val="Normal"/>
              <w:widowControl w:val="false"/>
              <w:jc w:val="center"/>
              <w:rPr>
                <w:rFonts w:eastAsia="Andale Sans UI" w:cs="Times New Roman"/>
                <w:b/>
                <w:b/>
              </w:rPr>
            </w:pPr>
            <w:r>
              <w:rPr>
                <w:rFonts w:eastAsia="Andale Sans UI" w:cs="Times New Roman"/>
                <w:b/>
              </w:rPr>
              <w:t>i eurima</w:t>
            </w:r>
          </w:p>
        </w:tc>
      </w:tr>
      <w:tr>
        <w:trPr>
          <w:trHeight w:val="1318" w:hRule="atLeast"/>
        </w:trPr>
        <w:tc>
          <w:tcPr>
            <w:tcW w:w="3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Andale Sans UI" w:cs="Times New Roman"/>
              </w:rPr>
            </w:pPr>
            <w:r>
              <w:rPr>
                <w:rFonts w:eastAsia="Andale Sans UI" w:cs="Times New Roman"/>
              </w:rPr>
              <w:t>Samostalna demokratska srpska stranka</w:t>
              <w:br/>
            </w:r>
          </w:p>
        </w:tc>
        <w:tc>
          <w:tcPr>
            <w:tcW w:w="19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Andale Sans UI" w:cs="Times New Roman"/>
              </w:rPr>
            </w:pPr>
            <w:r>
              <w:rPr>
                <w:rFonts w:eastAsia="Andale Sans UI" w:cs="Times New Roman"/>
              </w:rPr>
              <w:t>7</w:t>
            </w:r>
          </w:p>
          <w:p>
            <w:pPr>
              <w:pStyle w:val="Normal"/>
              <w:widowControl w:val="false"/>
              <w:jc w:val="center"/>
              <w:rPr>
                <w:rFonts w:eastAsia="Andale Sans UI" w:cs="Times New Roman"/>
              </w:rPr>
            </w:pPr>
            <w:r>
              <w:rPr>
                <w:rFonts w:eastAsia="Andale Sans UI" w:cs="Times New Roman"/>
              </w:rPr>
            </w:r>
          </w:p>
        </w:tc>
        <w:tc>
          <w:tcPr>
            <w:tcW w:w="2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Andale Sans UI" w:cs="Times New Roman"/>
              </w:rPr>
            </w:pPr>
            <w:r>
              <w:rPr>
                <w:rFonts w:eastAsia="Andale Sans UI" w:cs="Times New Roman"/>
              </w:rPr>
              <w:t>6.000,00 EUR</w:t>
            </w:r>
          </w:p>
          <w:p>
            <w:pPr>
              <w:pStyle w:val="Normal"/>
              <w:widowControl w:val="false"/>
              <w:jc w:val="right"/>
              <w:rPr>
                <w:rFonts w:eastAsia="Andale Sans UI" w:cs="Times New Roman"/>
              </w:rPr>
            </w:pPr>
            <w:r>
              <w:rPr>
                <w:rFonts w:eastAsia="Andale Sans UI" w:cs="Times New Roman"/>
              </w:rPr>
              <w:t>(858,14 EUR po članu)</w:t>
            </w:r>
          </w:p>
          <w:p>
            <w:pPr>
              <w:pStyle w:val="Normal"/>
              <w:widowControl w:val="false"/>
              <w:jc w:val="right"/>
              <w:rPr>
                <w:rFonts w:eastAsia="Andale Sans UI" w:cs="Times New Roman"/>
              </w:rPr>
            </w:pPr>
            <w:r>
              <w:rPr>
                <w:rFonts w:eastAsia="Andale Sans UI" w:cs="Times New Roman"/>
              </w:rPr>
              <w:br/>
            </w:r>
          </w:p>
        </w:tc>
      </w:tr>
      <w:tr>
        <w:trPr>
          <w:trHeight w:val="287" w:hRule="atLeast"/>
        </w:trPr>
        <w:tc>
          <w:tcPr>
            <w:tcW w:w="79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Andale Sans UI" w:cs="Times New Roman"/>
              </w:rPr>
            </w:pPr>
            <w:r>
              <w:rPr>
                <w:rFonts w:eastAsia="Calibri" w:cs="Times New Roman"/>
                <w:b/>
              </w:rPr>
              <w:t xml:space="preserve"> </w:t>
            </w:r>
            <w:r>
              <w:rPr>
                <w:rFonts w:eastAsia="Andale Sans UI" w:cs="Times New Roman"/>
                <w:b/>
              </w:rPr>
              <w:t xml:space="preserve">UKUPNO:                                                            6.000,00 EUR </w:t>
            </w:r>
          </w:p>
          <w:p>
            <w:pPr>
              <w:pStyle w:val="Normal"/>
              <w:widowControl w:val="false"/>
              <w:jc w:val="right"/>
              <w:rPr>
                <w:rFonts w:eastAsia="Andale Sans UI" w:cs="Times New Roman"/>
              </w:rPr>
            </w:pPr>
            <w:r>
              <w:rPr>
                <w:rFonts w:eastAsia="Andale Sans UI" w:cs="Times New Roman"/>
                <w:b/>
              </w:rPr>
              <w:t xml:space="preserve"> </w:t>
            </w:r>
          </w:p>
        </w:tc>
      </w:tr>
    </w:tbl>
    <w:p>
      <w:pPr>
        <w:pStyle w:val="Normal"/>
        <w:widowControl w:val="false"/>
        <w:rPr>
          <w:rFonts w:eastAsia="Calibri" w:cs="Times New Roman"/>
          <w:color w:val="00000A"/>
        </w:rPr>
      </w:pPr>
      <w:r>
        <w:rPr>
          <w:rFonts w:eastAsia="Calibri" w:cs="Times New Roman"/>
          <w:color w:val="00000A"/>
        </w:rPr>
      </w:r>
    </w:p>
    <w:p>
      <w:pPr>
        <w:pStyle w:val="Normal"/>
        <w:widowControl w:val="false"/>
        <w:jc w:val="center"/>
        <w:rPr>
          <w:rFonts w:eastAsia="Calibri" w:cs="Times New Roman"/>
          <w:b/>
          <w:b/>
          <w:color w:val="00000A"/>
        </w:rPr>
      </w:pPr>
      <w:r>
        <w:rPr>
          <w:rFonts w:eastAsia="Calibri" w:cs="Times New Roman"/>
          <w:b/>
          <w:color w:val="00000A"/>
        </w:rPr>
        <w:t>Članak 6.</w:t>
      </w:r>
    </w:p>
    <w:p>
      <w:pPr>
        <w:pStyle w:val="Normal"/>
        <w:widowControl w:val="false"/>
        <w:jc w:val="both"/>
        <w:rPr>
          <w:rFonts w:eastAsia="Andale Sans UI" w:cs="Times New Roman"/>
        </w:rPr>
      </w:pPr>
      <w:r>
        <w:rPr>
          <w:rFonts w:eastAsia="Calibri" w:cs="Times New Roman"/>
          <w:color w:val="00000A"/>
        </w:rPr>
        <w:tab/>
        <w:t>Sredstva iz članka 5. ove Odluke, doznačuje Jedinstveni upravni odjel na IBAN političke stranke tromjesečno u jednakim iznosima.</w:t>
      </w:r>
    </w:p>
    <w:p>
      <w:pPr>
        <w:pStyle w:val="Normal"/>
        <w:widowControl w:val="false"/>
        <w:jc w:val="both"/>
        <w:rPr>
          <w:rFonts w:eastAsia="Calibri" w:cs="Times New Roman"/>
          <w:color w:val="00000A"/>
        </w:rPr>
      </w:pPr>
      <w:r>
        <w:rPr>
          <w:rFonts w:eastAsia="Calibri" w:cs="Times New Roman"/>
          <w:color w:val="00000A"/>
        </w:rPr>
      </w:r>
    </w:p>
    <w:p>
      <w:pPr>
        <w:pStyle w:val="Normal"/>
        <w:widowControl w:val="false"/>
        <w:jc w:val="center"/>
        <w:rPr>
          <w:rFonts w:eastAsia="Andale Sans UI" w:cs="Times New Roman"/>
          <w:b/>
          <w:b/>
        </w:rPr>
      </w:pPr>
      <w:r>
        <w:rPr>
          <w:rFonts w:eastAsia="Calibri" w:cs="Times New Roman"/>
          <w:b/>
          <w:color w:val="00000A"/>
        </w:rPr>
        <w:t>Članak 7.</w:t>
      </w:r>
    </w:p>
    <w:p>
      <w:pPr>
        <w:pStyle w:val="Normal"/>
        <w:jc w:val="both"/>
        <w:rPr>
          <w:rFonts w:eastAsia="Calibri" w:cs="Times New Roman"/>
        </w:rPr>
      </w:pPr>
      <w:r>
        <w:rPr>
          <w:rFonts w:eastAsia="Calibri" w:cs="Times New Roman"/>
        </w:rPr>
        <w:tab/>
        <w:t>Ova Odluka stupa na snagu dan nakon dana objave u Službenom glasniku Općine Negoslavci, a primjenjuje se od 01.01.2025. godine.</w:t>
      </w:r>
    </w:p>
    <w:p>
      <w:pPr>
        <w:pStyle w:val="Normal"/>
        <w:jc w:val="right"/>
        <w:rPr>
          <w:rFonts w:eastAsia="Calibri" w:cs="Times New Roman"/>
          <w:b/>
          <w:b/>
        </w:rPr>
      </w:pPr>
      <w:r>
        <w:rPr>
          <w:rFonts w:eastAsia="Calibri" w:cs="Times New Roman"/>
          <w:b/>
        </w:rPr>
      </w:r>
    </w:p>
    <w:p>
      <w:pPr>
        <w:pStyle w:val="Normal"/>
        <w:jc w:val="right"/>
        <w:rPr>
          <w:rFonts w:eastAsia="Calibri" w:cs="Times New Roman"/>
          <w:b/>
          <w:b/>
        </w:rPr>
      </w:pPr>
      <w:r>
        <w:rPr>
          <w:rFonts w:eastAsia="Calibri" w:cs="Times New Roman"/>
          <w:b/>
        </w:rPr>
      </w:r>
    </w:p>
    <w:p>
      <w:pPr>
        <w:pStyle w:val="Normal"/>
        <w:jc w:val="right"/>
        <w:rPr>
          <w:rFonts w:eastAsia="Calibri" w:cs="Times New Roman"/>
          <w:b/>
          <w:b/>
        </w:rPr>
      </w:pPr>
      <w:r>
        <w:rPr>
          <w:rFonts w:eastAsia="Calibri" w:cs="Times New Roman"/>
          <w:b/>
        </w:rPr>
        <w:t>PREDSJEDNIK OPĆINSKOG VIJEĆA</w:t>
      </w:r>
    </w:p>
    <w:p>
      <w:pPr>
        <w:pStyle w:val="Normal"/>
        <w:jc w:val="right"/>
        <w:rPr>
          <w:rFonts w:eastAsia="Calibri" w:cs="Times New Roman"/>
        </w:rPr>
      </w:pPr>
      <w:r>
        <w:rPr>
          <w:rFonts w:eastAsia="Calibri" w:cs="Times New Roman"/>
        </w:rPr>
        <w:t>Miodrag Mišanović</w:t>
      </w:r>
    </w:p>
    <w:p>
      <w:pPr>
        <w:pStyle w:val="Normal"/>
        <w:rPr/>
      </w:pPr>
      <w:r>
        <w:rPr/>
      </w:r>
    </w:p>
    <w:p>
      <w:pPr>
        <w:pStyle w:val="Normal"/>
        <w:rPr/>
      </w:pPr>
      <w:r>
        <w:rPr/>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2</w:t>
    </w:r>
    <w:r>
      <w:rPr/>
      <w:fldChar w:fldCharType="end"/>
    </w:r>
  </w:p>
</w:ft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LibreOffice/7.3.2.2$Windows_X86_64 LibreOffice_project/49f2b1bff42cfccbd8f788c8dc32c1c309559be0</Application>
  <AppVersion>15.0000</AppVersion>
  <Pages>3</Pages>
  <Words>327</Words>
  <Characters>2015</Characters>
  <CharactersWithSpaces>2384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2024-01-03T14:48:00Z</dcterms:created>
  <dc:creator/>
  <dc:description/>
  <dc:language>hr-HR</dc:language>
  <cp:lastModifiedBy/>
  <dcterms:modified xsi:type="dcterms:W3CDTF">2025-01-09T09:20:00Z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