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 w:val="22"/>
          <w:szCs w:val="22"/>
          <w:lang w:val="hr-HR"/>
        </w:rPr>
        <w:tab/>
        <w:tab/>
      </w:r>
      <w:r>
        <w:rPr/>
        <w:drawing>
          <wp:inline distT="0" distB="0" distL="0" distR="0">
            <wp:extent cx="475615" cy="59753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firstLine="72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 w:val="22"/>
          <w:szCs w:val="22"/>
          <w:lang w:val="hr-HR"/>
        </w:rPr>
        <w:t>REPUBLIKA HRVATSKA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 w:val="22"/>
          <w:szCs w:val="22"/>
          <w:lang w:val="hr-HR"/>
        </w:rPr>
        <w:t>VUKOVARSKO-SRIJEMSKA ŽUPANIJA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 w:val="22"/>
          <w:szCs w:val="22"/>
          <w:lang w:val="hr-HR"/>
        </w:rPr>
        <w:t>OPĆINA NEGOSLAVCI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 w:val="22"/>
          <w:szCs w:val="22"/>
          <w:lang w:val="hr-HR"/>
        </w:rPr>
        <w:t>Općinsko vijeće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 w:val="22"/>
          <w:szCs w:val="22"/>
          <w:lang w:val="hr-HR"/>
        </w:rPr>
        <w:t>KLA</w:t>
      </w:r>
      <w:r>
        <w:rPr>
          <w:rFonts w:eastAsia="Calibri" w:cs="Times New Roman" w:ascii="Times New Roman" w:hAnsi="Times New Roman"/>
          <w:b/>
          <w:color w:val="000000"/>
          <w:sz w:val="22"/>
          <w:szCs w:val="22"/>
          <w:lang w:val="hr-HR"/>
        </w:rPr>
        <w:t>SA:</w:t>
      </w:r>
      <w:r>
        <w:rPr>
          <w:rFonts w:eastAsia="Calibri" w:cs="Times New Roman" w:ascii="Times New Roman" w:hAnsi="Times New Roman"/>
          <w:color w:val="000000"/>
          <w:sz w:val="22"/>
          <w:szCs w:val="22"/>
          <w:lang w:val="hr-HR"/>
        </w:rPr>
        <w:t xml:space="preserve"> 400-02/24-01/01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</w:rPr>
      </w:pPr>
      <w:r>
        <w:rPr>
          <w:rFonts w:eastAsia="Calibri" w:cs="Times New Roman" w:ascii="Times New Roman" w:hAnsi="Times New Roman"/>
          <w:b/>
          <w:color w:val="000000"/>
          <w:sz w:val="22"/>
          <w:szCs w:val="22"/>
          <w:lang w:val="hr-HR"/>
        </w:rPr>
        <w:t>URBROJ:</w:t>
      </w:r>
      <w:r>
        <w:rPr>
          <w:rFonts w:eastAsia="Calibri" w:cs="Times New Roman" w:ascii="Times New Roman" w:hAnsi="Times New Roman"/>
          <w:color w:val="000000"/>
          <w:sz w:val="22"/>
          <w:szCs w:val="22"/>
          <w:lang w:val="hr-HR"/>
        </w:rPr>
        <w:t xml:space="preserve"> 2196-19-01-24-</w:t>
      </w:r>
      <w:r>
        <w:rPr>
          <w:rFonts w:eastAsia="Calibri" w:cs="Times New Roman" w:ascii="Times New Roman" w:hAnsi="Times New Roman"/>
          <w:color w:val="000000"/>
          <w:sz w:val="22"/>
          <w:szCs w:val="22"/>
          <w:lang w:val="hr-HR"/>
        </w:rPr>
        <w:t>14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color w:val="000000"/>
          <w:sz w:val="22"/>
          <w:szCs w:val="22"/>
          <w:lang w:val="hr-HR"/>
        </w:rPr>
        <w:t>Negoslavci,</w:t>
      </w:r>
      <w:r>
        <w:rPr>
          <w:rFonts w:eastAsia="Calibri" w:cs="Times New Roman" w:ascii="Times New Roman" w:hAnsi="Times New Roman"/>
          <w:color w:val="000000"/>
          <w:sz w:val="22"/>
          <w:szCs w:val="22"/>
          <w:lang w:val="hr-HR"/>
        </w:rPr>
        <w:t xml:space="preserve"> 2</w:t>
      </w:r>
      <w:r>
        <w:rPr>
          <w:rFonts w:eastAsia="Calibri" w:cs="Times New Roman" w:ascii="Times New Roman" w:hAnsi="Times New Roman"/>
          <w:color w:val="000000"/>
          <w:sz w:val="22"/>
          <w:szCs w:val="22"/>
          <w:lang w:val="hr-HR"/>
        </w:rPr>
        <w:t>4</w:t>
      </w:r>
      <w:r>
        <w:rPr>
          <w:rFonts w:eastAsia="Calibri" w:cs="Times New Roman" w:ascii="Times New Roman" w:hAnsi="Times New Roman"/>
          <w:color w:val="000000"/>
          <w:sz w:val="22"/>
          <w:szCs w:val="22"/>
          <w:lang w:val="hr-HR"/>
        </w:rPr>
        <w:t>. prosinca 2024.</w:t>
      </w:r>
    </w:p>
    <w:p>
      <w:pPr>
        <w:pStyle w:val="Normal"/>
        <w:bidi w:val="0"/>
        <w:jc w:val="both"/>
        <w:rPr>
          <w:rFonts w:ascii="Times New Roman" w:hAnsi="Times New Roman" w:eastAsia="Calibri" w:cs="Times New Roman"/>
          <w:sz w:val="22"/>
          <w:szCs w:val="22"/>
          <w:lang w:val="hr-HR"/>
        </w:rPr>
      </w:pPr>
      <w:r>
        <w:rPr>
          <w:rFonts w:eastAsia="Calibri" w:cs="Times New Roman" w:ascii="Times New Roman" w:hAnsi="Times New Roman"/>
          <w:sz w:val="22"/>
          <w:szCs w:val="22"/>
          <w:lang w:val="hr-HR"/>
        </w:rPr>
      </w:r>
    </w:p>
    <w:p>
      <w:pPr>
        <w:pStyle w:val="Normal"/>
        <w:bidi w:val="0"/>
        <w:ind w:firstLine="72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2"/>
          <w:szCs w:val="22"/>
          <w:lang w:val="hr-HR"/>
        </w:rPr>
        <w:t>Na temelju članka 32., stavka 2., točke 1. Statuta Općine Negoslavci („Službeni glasnik Općine Negoslavci” broj 1/21 i 7/23), Općinsk</w:t>
      </w:r>
      <w:r>
        <w:rPr>
          <w:rFonts w:eastAsia="Calibri" w:cs="Times New Roman" w:ascii="Times New Roman" w:hAnsi="Times New Roman"/>
          <w:sz w:val="22"/>
          <w:szCs w:val="22"/>
          <w:lang w:val="hr-HR"/>
        </w:rPr>
        <w:t>o vijeće Općine Negoslavci</w:t>
      </w:r>
      <w:r>
        <w:rPr>
          <w:rFonts w:eastAsia="Calibri" w:cs="Times New Roman" w:ascii="Times New Roman" w:hAnsi="Times New Roman"/>
          <w:sz w:val="22"/>
          <w:szCs w:val="22"/>
          <w:lang w:val="hr-HR"/>
        </w:rPr>
        <w:t xml:space="preserve"> dana </w:t>
      </w:r>
      <w:r>
        <w:rPr>
          <w:rFonts w:eastAsia="Calibri" w:cs="Times New Roman" w:ascii="Times New Roman" w:hAnsi="Times New Roman"/>
          <w:color w:val="000000"/>
          <w:sz w:val="22"/>
          <w:szCs w:val="22"/>
          <w:lang w:val="hr-HR"/>
        </w:rPr>
        <w:t>2</w:t>
      </w:r>
      <w:r>
        <w:rPr>
          <w:rFonts w:eastAsia="Calibri" w:cs="Times New Roman" w:ascii="Times New Roman" w:hAnsi="Times New Roman"/>
          <w:color w:val="000000"/>
          <w:sz w:val="22"/>
          <w:szCs w:val="22"/>
          <w:lang w:val="hr-HR"/>
        </w:rPr>
        <w:t>4</w:t>
      </w:r>
      <w:r>
        <w:rPr>
          <w:rFonts w:eastAsia="Calibri" w:cs="Times New Roman" w:ascii="Times New Roman" w:hAnsi="Times New Roman"/>
          <w:color w:val="000000"/>
          <w:sz w:val="22"/>
          <w:szCs w:val="22"/>
          <w:lang w:val="hr-HR"/>
        </w:rPr>
        <w:t>.12.2024. godine donosi</w:t>
      </w:r>
    </w:p>
    <w:p>
      <w:pPr>
        <w:pStyle w:val="Normal"/>
        <w:bidi w:val="0"/>
        <w:jc w:val="left"/>
        <w:rPr>
          <w:rFonts w:ascii="Times New Roman" w:hAnsi="Times New Roman" w:eastAsia="Calibri" w:cs="Times New Roman"/>
          <w:sz w:val="22"/>
          <w:szCs w:val="22"/>
          <w:lang w:val="hr-HR"/>
        </w:rPr>
      </w:pPr>
      <w:r>
        <w:rPr>
          <w:rFonts w:eastAsia="Calibri" w:cs="Times New Roman" w:ascii="Times New Roman" w:hAnsi="Times New Roman"/>
          <w:sz w:val="22"/>
          <w:szCs w:val="22"/>
          <w:lang w:val="hr-HR"/>
        </w:rPr>
      </w:r>
    </w:p>
    <w:p>
      <w:pPr>
        <w:pStyle w:val="Normal"/>
        <w:keepNext w:val="true"/>
        <w:numPr>
          <w:ilvl w:val="0"/>
          <w:numId w:val="0"/>
        </w:numPr>
        <w:bidi w:val="0"/>
        <w:ind w:left="0" w:hanging="0"/>
        <w:jc w:val="center"/>
        <w:outlineLvl w:val="0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 w:val="22"/>
          <w:szCs w:val="22"/>
          <w:lang w:val="hr-HR"/>
        </w:rPr>
        <w:t>P</w:t>
      </w:r>
      <w:bookmarkStart w:id="0" w:name="_Toc62727867"/>
      <w:r>
        <w:rPr>
          <w:rFonts w:eastAsia="Calibri" w:cs="Times New Roman" w:ascii="Times New Roman" w:hAnsi="Times New Roman"/>
          <w:b/>
          <w:sz w:val="22"/>
          <w:szCs w:val="22"/>
          <w:lang w:val="hr-HR"/>
        </w:rPr>
        <w:t>rogram financiranja udruga i općedruštvenih djelatnosti na području Općine Negoslavci za 2025. godinu</w:t>
      </w:r>
      <w:bookmarkEnd w:id="0"/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 w:val="22"/>
          <w:szCs w:val="22"/>
          <w:lang w:val="hr-HR"/>
        </w:rPr>
        <w:t>I</w:t>
      </w:r>
    </w:p>
    <w:p>
      <w:pPr>
        <w:pStyle w:val="Normal"/>
        <w:widowControl w:val="false"/>
        <w:suppressAutoHyphens w:val="true"/>
        <w:bidi w:val="0"/>
        <w:spacing w:before="0" w:after="12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 w:val="22"/>
          <w:szCs w:val="22"/>
          <w:lang w:val="hr-HR"/>
        </w:rPr>
        <w:tab/>
      </w:r>
      <w:r>
        <w:rPr>
          <w:rFonts w:eastAsia="Andale Sans UI" w:cs="Times New Roman" w:ascii="Times New Roman" w:hAnsi="Times New Roman"/>
          <w:kern w:val="2"/>
          <w:sz w:val="22"/>
          <w:szCs w:val="22"/>
          <w:lang w:val="hr-HR" w:eastAsia="zh-CN"/>
        </w:rPr>
        <w:t>Temeljem odredaba ovoga Programa, iz proračuna Općine Negoslavci u 2025. godini financirat će se  udruge i ostali subjekti koji se općedruštvenim djelatnostima bave kao svojom osnovnom djelatnošću na području Općine Negoslavci, imaju korisnike sa područja Općine Negoslavci ili imaju sjedište na području Općine Negoslavci.</w:t>
      </w:r>
    </w:p>
    <w:p>
      <w:pPr>
        <w:pStyle w:val="Normal"/>
        <w:bidi w:val="0"/>
        <w:spacing w:before="0" w:after="0"/>
        <w:contextualSpacing/>
        <w:jc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 w:val="22"/>
          <w:szCs w:val="22"/>
          <w:lang w:val="hr-HR"/>
        </w:rPr>
        <w:t>II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2"/>
          <w:szCs w:val="22"/>
          <w:lang w:val="hr-HR"/>
        </w:rPr>
        <w:tab/>
        <w:t>Sredstva osigurana u Proračunu Općine Negoslavci za 2025. godinu raspodijelit će se udrugama i zajednicama od posebnog interesa, kako slijedi:</w:t>
      </w:r>
    </w:p>
    <w:p>
      <w:pPr>
        <w:pStyle w:val="Normal"/>
        <w:numPr>
          <w:ilvl w:val="0"/>
          <w:numId w:val="2"/>
        </w:numPr>
        <w:bidi w:val="0"/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2"/>
          <w:szCs w:val="22"/>
          <w:lang w:val="hr-HR"/>
        </w:rPr>
        <w:t xml:space="preserve">Zajedničko vijeće općina </w:t>
        <w:tab/>
        <w:tab/>
        <w:tab/>
        <w:tab/>
        <w:tab/>
        <w:t xml:space="preserve">            </w:t>
      </w:r>
      <w:r>
        <w:rPr>
          <w:rFonts w:eastAsia="Calibri" w:cs="Times New Roman" w:ascii="Times New Roman" w:hAnsi="Times New Roman"/>
          <w:color w:val="000000"/>
          <w:sz w:val="22"/>
          <w:szCs w:val="22"/>
          <w:lang w:val="hr-HR"/>
        </w:rPr>
        <w:t>5.500,00 EUR</w:t>
      </w:r>
    </w:p>
    <w:p>
      <w:pPr>
        <w:pStyle w:val="Normal"/>
        <w:numPr>
          <w:ilvl w:val="0"/>
          <w:numId w:val="2"/>
        </w:numPr>
        <w:bidi w:val="0"/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2"/>
          <w:szCs w:val="22"/>
          <w:lang w:val="hr-HR"/>
        </w:rPr>
        <w:t xml:space="preserve">Vjerske zajednice (kapitalne i tekuće donacije) </w:t>
        <w:tab/>
        <w:t xml:space="preserve">   </w:t>
        <w:tab/>
        <w:t xml:space="preserve">                     </w:t>
      </w:r>
      <w:r>
        <w:rPr>
          <w:rFonts w:eastAsia="Calibri" w:cs="Times New Roman" w:ascii="Times New Roman" w:hAnsi="Times New Roman"/>
          <w:color w:val="000000"/>
          <w:sz w:val="22"/>
          <w:szCs w:val="22"/>
          <w:lang w:val="hr-HR"/>
        </w:rPr>
        <w:t xml:space="preserve">  13.400,00 EUR</w:t>
      </w:r>
    </w:p>
    <w:p>
      <w:pPr>
        <w:pStyle w:val="Normal"/>
        <w:numPr>
          <w:ilvl w:val="0"/>
          <w:numId w:val="2"/>
        </w:numPr>
        <w:bidi w:val="0"/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2"/>
          <w:szCs w:val="22"/>
          <w:lang w:val="hr-HR"/>
        </w:rPr>
        <w:t xml:space="preserve">Kulturne manifestacije na području općine </w:t>
        <w:tab/>
        <w:tab/>
        <w:tab/>
        <w:t xml:space="preserve">          </w:t>
      </w:r>
      <w:r>
        <w:rPr>
          <w:rFonts w:eastAsia="Calibri" w:cs="Times New Roman" w:ascii="Times New Roman" w:hAnsi="Times New Roman"/>
          <w:color w:val="000000"/>
          <w:sz w:val="22"/>
          <w:szCs w:val="22"/>
          <w:lang w:val="hr-HR"/>
        </w:rPr>
        <w:t xml:space="preserve">  5.000,00 EUR</w:t>
      </w:r>
    </w:p>
    <w:p>
      <w:pPr>
        <w:pStyle w:val="Normal"/>
        <w:numPr>
          <w:ilvl w:val="0"/>
          <w:numId w:val="2"/>
        </w:numPr>
        <w:bidi w:val="0"/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2"/>
          <w:szCs w:val="22"/>
          <w:lang w:val="hr-HR"/>
        </w:rPr>
        <w:t>Tekuće donacije LAG Srijem</w:t>
        <w:tab/>
        <w:tab/>
        <w:tab/>
        <w:tab/>
        <w:tab/>
        <w:t xml:space="preserve">            2.000,00 EUR</w:t>
      </w:r>
    </w:p>
    <w:p>
      <w:pPr>
        <w:pStyle w:val="Normal"/>
        <w:numPr>
          <w:ilvl w:val="0"/>
          <w:numId w:val="2"/>
        </w:numPr>
        <w:bidi w:val="0"/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2"/>
          <w:szCs w:val="22"/>
          <w:lang w:val="hr-HR"/>
        </w:rPr>
        <w:t>Tekuće donacije nacionalnim manjinama</w:t>
        <w:tab/>
        <w:tab/>
        <w:tab/>
        <w:t xml:space="preserve">            6.000,00 EUR</w:t>
      </w:r>
    </w:p>
    <w:p>
      <w:pPr>
        <w:pStyle w:val="Normal"/>
        <w:numPr>
          <w:ilvl w:val="0"/>
          <w:numId w:val="2"/>
        </w:numPr>
        <w:bidi w:val="0"/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2"/>
          <w:szCs w:val="22"/>
          <w:lang w:val="hr-HR"/>
        </w:rPr>
        <w:t>Tekuće donacije Glas potrošača</w:t>
        <w:tab/>
        <w:tab/>
        <w:tab/>
        <w:tab/>
        <w:tab/>
        <w:t xml:space="preserve">             </w:t>
      </w:r>
      <w:r>
        <w:rPr>
          <w:rFonts w:eastAsia="Calibri" w:cs="Times New Roman" w:ascii="Times New Roman" w:hAnsi="Times New Roman"/>
          <w:color w:val="000000"/>
          <w:sz w:val="22"/>
          <w:szCs w:val="22"/>
          <w:lang w:val="hr-HR"/>
        </w:rPr>
        <w:t xml:space="preserve">  265,00 EUR</w:t>
      </w:r>
    </w:p>
    <w:p>
      <w:pPr>
        <w:pStyle w:val="Normal"/>
        <w:numPr>
          <w:ilvl w:val="0"/>
          <w:numId w:val="2"/>
        </w:numPr>
        <w:bidi w:val="0"/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2"/>
          <w:szCs w:val="22"/>
          <w:lang w:val="hr-HR"/>
        </w:rPr>
        <w:t>Tekuće donacije za U</w:t>
      </w:r>
      <w:r>
        <w:rPr>
          <w:rFonts w:eastAsia="Andale Sans UI" w:cs="Times New Roman" w:ascii="Times New Roman" w:hAnsi="Times New Roman"/>
          <w:kern w:val="2"/>
          <w:sz w:val="22"/>
          <w:szCs w:val="22"/>
          <w:lang w:val="pl-PL" w:eastAsia="zh-CN"/>
        </w:rPr>
        <w:t xml:space="preserve">druge na osnovu javnog poziva  </w:t>
        <w:tab/>
        <w:t xml:space="preserve">                       95.400,00</w:t>
      </w:r>
      <w:r>
        <w:rPr>
          <w:rFonts w:eastAsia="Calibri" w:cs="Times New Roman" w:ascii="Times New Roman" w:hAnsi="Times New Roman"/>
          <w:color w:val="000000"/>
          <w:sz w:val="22"/>
          <w:szCs w:val="22"/>
          <w:lang w:val="hr-HR"/>
        </w:rPr>
        <w:t xml:space="preserve"> EUR</w:t>
      </w:r>
    </w:p>
    <w:p>
      <w:pPr>
        <w:pStyle w:val="Normal"/>
        <w:numPr>
          <w:ilvl w:val="0"/>
          <w:numId w:val="2"/>
        </w:numPr>
        <w:bidi w:val="0"/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2"/>
          <w:szCs w:val="22"/>
          <w:lang w:val="hr-HR"/>
        </w:rPr>
        <w:t>Tekuće donacija ostalim neprofitnim org</w:t>
      </w:r>
      <w:r>
        <w:rPr>
          <w:rFonts w:eastAsia="Calibri" w:cs="Times New Roman" w:ascii="Times New Roman" w:hAnsi="Times New Roman"/>
          <w:color w:val="000000"/>
          <w:sz w:val="22"/>
          <w:szCs w:val="22"/>
          <w:lang w:val="hr-HR"/>
        </w:rPr>
        <w:t>anizacijama</w:t>
        <w:tab/>
        <w:t xml:space="preserve">                         2.000,00 EUR</w:t>
      </w:r>
    </w:p>
    <w:p>
      <w:pPr>
        <w:pStyle w:val="ListParagraph"/>
        <w:numPr>
          <w:ilvl w:val="0"/>
          <w:numId w:val="2"/>
        </w:numPr>
        <w:bidi w:val="0"/>
        <w:jc w:val="left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000000"/>
          <w:sz w:val="22"/>
          <w:szCs w:val="22"/>
          <w:lang w:val="hr-HR"/>
        </w:rPr>
        <w:t>Izgradnja vrtića                                                                                     800.000,00 EUR</w:t>
      </w:r>
    </w:p>
    <w:p>
      <w:pPr>
        <w:pStyle w:val="Normal"/>
        <w:numPr>
          <w:ilvl w:val="0"/>
          <w:numId w:val="0"/>
        </w:numPr>
        <w:bidi w:val="0"/>
        <w:spacing w:before="0" w:after="0"/>
        <w:ind w:left="720" w:hanging="0"/>
        <w:contextualSpacing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color w:val="000000"/>
          <w:sz w:val="22"/>
          <w:szCs w:val="22"/>
          <w:lang w:val="hr-HR"/>
        </w:rPr>
        <w:t xml:space="preserve">UKUPNO: </w:t>
      </w:r>
      <w:r>
        <w:rPr>
          <w:rFonts w:eastAsia="Calibri" w:cs="Times New Roman" w:ascii="Times New Roman" w:hAnsi="Times New Roman"/>
          <w:b/>
          <w:color w:val="C9211E"/>
          <w:sz w:val="22"/>
          <w:szCs w:val="22"/>
          <w:lang w:val="hr-HR"/>
        </w:rPr>
        <w:tab/>
        <w:tab/>
        <w:tab/>
        <w:tab/>
        <w:tab/>
        <w:tab/>
        <w:t xml:space="preserve">                  </w:t>
      </w:r>
      <w:r>
        <w:rPr>
          <w:rFonts w:eastAsia="Calibri" w:cs="Times New Roman" w:ascii="Times New Roman" w:hAnsi="Times New Roman"/>
          <w:b/>
          <w:color w:val="000000"/>
          <w:sz w:val="22"/>
          <w:szCs w:val="22"/>
          <w:lang w:val="hr-HR"/>
        </w:rPr>
        <w:t xml:space="preserve">  929.565,00 EUR</w:t>
      </w:r>
    </w:p>
    <w:p>
      <w:pPr>
        <w:pStyle w:val="Normal"/>
        <w:bidi w:val="0"/>
        <w:spacing w:before="0" w:after="0"/>
        <w:ind w:left="720" w:hanging="0"/>
        <w:contextualSpacing/>
        <w:jc w:val="both"/>
        <w:rPr>
          <w:rFonts w:ascii="Times New Roman" w:hAnsi="Times New Roman" w:eastAsia="Calibri" w:cs="Times New Roman"/>
          <w:b/>
          <w:b/>
          <w:szCs w:val="24"/>
          <w:lang w:val="hr-HR"/>
        </w:rPr>
      </w:pPr>
      <w:r>
        <w:rPr>
          <w:rFonts w:eastAsia="Calibri" w:cs="Times New Roman" w:ascii="Times New Roman" w:hAnsi="Times New Roman"/>
          <w:b/>
          <w:szCs w:val="24"/>
          <w:lang w:val="hr-HR"/>
        </w:rPr>
      </w:r>
    </w:p>
    <w:p>
      <w:pPr>
        <w:pStyle w:val="Normal"/>
        <w:bidi w:val="0"/>
        <w:spacing w:before="0" w:after="0"/>
        <w:contextualSpacing/>
        <w:jc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 w:val="22"/>
          <w:szCs w:val="22"/>
          <w:lang w:val="hr-HR"/>
        </w:rPr>
        <w:t>III</w:t>
      </w:r>
    </w:p>
    <w:p>
      <w:pPr>
        <w:pStyle w:val="Normal"/>
        <w:bidi w:val="0"/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 w:val="22"/>
          <w:szCs w:val="22"/>
          <w:lang w:val="hr-HR"/>
        </w:rPr>
        <w:tab/>
      </w:r>
      <w:r>
        <w:rPr>
          <w:rFonts w:eastAsia="Calibri" w:cs="Times New Roman" w:ascii="Times New Roman" w:hAnsi="Times New Roman"/>
          <w:sz w:val="22"/>
          <w:szCs w:val="22"/>
          <w:lang w:val="hr-HR"/>
        </w:rPr>
        <w:t>Općina Negoslavci sufinancirat će osim djelatnosti iz članka I. ovog Programa i rad ostalih udruga iz područja zdravstva i dr. sukladno mogućnostima Proračuna.</w:t>
      </w:r>
    </w:p>
    <w:p>
      <w:pPr>
        <w:pStyle w:val="Normal"/>
        <w:widowControl w:val="false"/>
        <w:suppressAutoHyphens w:val="true"/>
        <w:bidi w:val="0"/>
        <w:spacing w:before="0" w:after="120"/>
        <w:ind w:firstLine="708"/>
        <w:jc w:val="both"/>
        <w:rPr>
          <w:rFonts w:ascii="Times New Roman" w:hAnsi="Times New Roman"/>
        </w:rPr>
      </w:pPr>
      <w:r>
        <w:rPr>
          <w:rFonts w:eastAsia="Andale Sans UI" w:cs="Times New Roman" w:ascii="Times New Roman" w:hAnsi="Times New Roman"/>
          <w:kern w:val="2"/>
          <w:sz w:val="22"/>
          <w:szCs w:val="22"/>
          <w:lang w:val="hr-HR" w:eastAsia="zh-CN"/>
        </w:rPr>
        <w:t>Korisnici proračunskih sredstava nabrojani u točki II. financirat će se u mjesečnim ili kvartalnim obrocima, ukoliko ovakav način financiranja bude dozvoljavao priliv sredstava u proračun Općine Negoslavci.</w:t>
      </w:r>
    </w:p>
    <w:p>
      <w:pPr>
        <w:pStyle w:val="Normal"/>
        <w:widowControl w:val="false"/>
        <w:suppressAutoHyphens w:val="true"/>
        <w:bidi w:val="0"/>
        <w:spacing w:before="0" w:after="120"/>
        <w:jc w:val="center"/>
        <w:rPr>
          <w:rFonts w:ascii="Times New Roman" w:hAnsi="Times New Roma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2"/>
          <w:szCs w:val="22"/>
          <w:lang w:val="hr-HR" w:eastAsia="zh-CN"/>
        </w:rPr>
        <w:t>IV</w:t>
      </w:r>
    </w:p>
    <w:p>
      <w:pPr>
        <w:pStyle w:val="Normal"/>
        <w:widowControl w:val="false"/>
        <w:suppressAutoHyphens w:val="true"/>
        <w:bidi w:val="0"/>
        <w:spacing w:before="0" w:after="120"/>
        <w:ind w:firstLine="708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Cs/>
          <w:sz w:val="22"/>
          <w:szCs w:val="22"/>
          <w:lang w:val="en-AU" w:eastAsia="hr-HR"/>
        </w:rPr>
        <w:t>Provedbene odluke u cilju realizacije ovog Programa donijet će Općinski načelnik.</w:t>
      </w:r>
    </w:p>
    <w:p>
      <w:pPr>
        <w:pStyle w:val="Normal"/>
        <w:widowControl w:val="false"/>
        <w:suppressAutoHyphens w:val="true"/>
        <w:bidi w:val="0"/>
        <w:spacing w:before="0" w:after="120"/>
        <w:jc w:val="center"/>
        <w:rPr>
          <w:rFonts w:ascii="Times New Roman" w:hAnsi="Times New Roma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2"/>
          <w:szCs w:val="22"/>
          <w:lang w:val="hr-HR" w:eastAsia="zh-CN"/>
        </w:rPr>
        <w:t>V</w:t>
      </w:r>
    </w:p>
    <w:p>
      <w:pPr>
        <w:pStyle w:val="Normal"/>
        <w:widowControl w:val="false"/>
        <w:suppressAutoHyphens w:val="true"/>
        <w:bidi w:val="0"/>
        <w:spacing w:before="0" w:after="120"/>
        <w:ind w:firstLine="708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2"/>
          <w:szCs w:val="22"/>
          <w:lang w:val="hr-HR"/>
        </w:rPr>
        <w:t>Zajednice i udruge iz članka I obvezuju se dostaviti izvješće o utrošku sredstava doznačenih po ovom Programu najkasnije do 31. ožujka 2025. godine.</w:t>
      </w:r>
    </w:p>
    <w:p>
      <w:pPr>
        <w:pStyle w:val="Normal"/>
        <w:bidi w:val="0"/>
        <w:spacing w:before="0" w:after="0"/>
        <w:contextualSpacing/>
        <w:jc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 w:val="22"/>
          <w:szCs w:val="22"/>
          <w:lang w:val="hr-HR"/>
        </w:rPr>
        <w:t>VI</w:t>
      </w:r>
    </w:p>
    <w:p>
      <w:pPr>
        <w:pStyle w:val="Normal"/>
        <w:bidi w:val="0"/>
        <w:ind w:firstLine="708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000000" w:themeColor="text1"/>
          <w:sz w:val="22"/>
          <w:szCs w:val="22"/>
          <w:lang w:val="hr-HR"/>
        </w:rPr>
        <w:t>Ovaj Program stupa na snagu dan nakon dana objave u Službenom glasniku Općine Negoslavci, a primjenjuje se od 01.01.2025. godine.</w:t>
      </w:r>
    </w:p>
    <w:p>
      <w:pPr>
        <w:pStyle w:val="Normal"/>
        <w:bidi w:val="0"/>
        <w:spacing w:before="0" w:after="0"/>
        <w:contextualSpacing/>
        <w:jc w:val="right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 w:val="22"/>
          <w:szCs w:val="22"/>
          <w:lang w:val="hr-HR"/>
        </w:rPr>
        <w:t>PREDSJEDNIK OPĆINSKOG VIJEĆA</w:t>
      </w:r>
    </w:p>
    <w:p>
      <w:pPr>
        <w:pStyle w:val="Normal"/>
        <w:bidi w:val="0"/>
        <w:spacing w:before="0" w:after="0"/>
        <w:contextualSpacing/>
        <w:jc w:val="right"/>
        <w:rPr>
          <w:rFonts w:ascii="Times New Roman" w:hAnsi="Times New Roman"/>
        </w:rPr>
      </w:pPr>
      <w:bookmarkStart w:id="1" w:name="_GoBack"/>
      <w:bookmarkEnd w:id="1"/>
      <w:r>
        <w:rPr>
          <w:rFonts w:eastAsia="Calibri" w:cs="Times New Roman" w:ascii="Times New Roman" w:hAnsi="Times New Roman"/>
          <w:sz w:val="22"/>
          <w:szCs w:val="22"/>
          <w:lang w:val="hr-HR"/>
        </w:rPr>
        <w:t>Miodrag Mišanović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Strong">
    <w:name w:val="Strong"/>
    <w:qFormat/>
    <w:rPr>
      <w:b/>
      <w:bCs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Zaglavljeipodnoje">
    <w:name w:val="Zaglavlje i podnožj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odnoje">
    <w:name w:val="Footer"/>
    <w:basedOn w:val="Zaglavljeipodnoj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93</TotalTime>
  <Application>LibreOffice/7.4.1.2$Windows_X86_64 LibreOffice_project/3c58a8f3a960df8bc8fd77b461821e42c061c5f0</Application>
  <AppVersion>15.0000</AppVersion>
  <Pages>1</Pages>
  <Words>306</Words>
  <Characters>1906</Characters>
  <CharactersWithSpaces>2444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2022-12-29T10:57:22Z</dcterms:created>
  <dc:creator/>
  <dc:description/>
  <dc:language>hr-HR</dc:language>
  <cp:lastModifiedBy/>
  <dcterms:modified xsi:type="dcterms:W3CDTF">2024-12-31T11:45:14Z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