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ab/>
        <w:tab/>
      </w:r>
      <w:r>
        <w:rPr>
          <w:rFonts w:ascii="Times New Roman" w:hAnsi="Times New Roman"/>
        </w:rPr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KLASA: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400-0</w:t>
      </w:r>
      <w:r>
        <w:rPr>
          <w:rFonts w:eastAsia="Calibri" w:cs="Times New Roman" w:ascii="Times New Roman" w:hAnsi="Times New Roman"/>
          <w:color w:val="000000"/>
        </w:rPr>
        <w:t>2/24-01/01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2196-19-02-24-17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Cs w:val="24"/>
          <w:lang w:val="hr-HR"/>
        </w:rPr>
        <w:t>Negoslavci,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 xml:space="preserve"> 24. prosinca 2024.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ind w:firstLine="720"/>
        <w:jc w:val="both"/>
        <w:rPr/>
      </w:pPr>
      <w:r>
        <w:rPr>
          <w:rFonts w:eastAsia="Calibri" w:cs="Times New Roman" w:ascii="Times New Roman" w:hAnsi="Times New Roman"/>
          <w:szCs w:val="24"/>
          <w:lang w:val="hr-HR"/>
        </w:rPr>
        <w:t xml:space="preserve">Na temelju članka 48 i 49 Zakona o predškolskom odgoju i obrazovanju („Narodne novine“ broj </w:t>
      </w:r>
      <w:hyperlink r:id="rId3">
        <w:r>
          <w:rPr>
            <w:rFonts w:eastAsia="Calibri" w:cs="Times New Roman" w:ascii="Times New Roman" w:hAnsi="Times New Roman"/>
            <w:szCs w:val="24"/>
            <w:lang w:val="hr-HR"/>
          </w:rPr>
          <w:t>10/97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4">
        <w:r>
          <w:rPr>
            <w:rFonts w:eastAsia="Calibri" w:cs="Times New Roman" w:ascii="Times New Roman" w:hAnsi="Times New Roman"/>
            <w:szCs w:val="24"/>
            <w:lang w:val="hr-HR"/>
          </w:rPr>
          <w:t>107/07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5">
        <w:r>
          <w:rPr>
            <w:rFonts w:eastAsia="Calibri" w:cs="Times New Roman" w:ascii="Times New Roman" w:hAnsi="Times New Roman"/>
            <w:szCs w:val="24"/>
            <w:lang w:val="hr-HR"/>
          </w:rPr>
          <w:t>94/13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6">
        <w:r>
          <w:rPr>
            <w:rFonts w:eastAsia="Calibri" w:cs="Times New Roman" w:ascii="Times New Roman" w:hAnsi="Times New Roman"/>
            <w:szCs w:val="24"/>
            <w:lang w:val="hr-HR"/>
          </w:rPr>
          <w:t>98/19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57/22 i 101/23), u svezi sa člankom 143. Zakona o odgoju i obrazovanju u osnovnoj i srednjoj školi („Narodne novine“ broj </w:t>
      </w:r>
      <w:hyperlink r:id="rId7">
        <w:r>
          <w:rPr>
            <w:rFonts w:eastAsia="Calibri" w:cs="Times New Roman" w:ascii="Times New Roman" w:hAnsi="Times New Roman"/>
            <w:szCs w:val="24"/>
            <w:lang w:val="hr-HR"/>
          </w:rPr>
          <w:t>87/08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8">
        <w:r>
          <w:rPr>
            <w:rFonts w:eastAsia="Calibri" w:cs="Times New Roman" w:ascii="Times New Roman" w:hAnsi="Times New Roman"/>
            <w:szCs w:val="24"/>
            <w:lang w:val="hr-HR"/>
          </w:rPr>
          <w:t>86/09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9">
        <w:r>
          <w:rPr>
            <w:rFonts w:eastAsia="Calibri" w:cs="Times New Roman" w:ascii="Times New Roman" w:hAnsi="Times New Roman"/>
            <w:szCs w:val="24"/>
            <w:lang w:val="hr-HR"/>
          </w:rPr>
          <w:t>92/10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0">
        <w:r>
          <w:rPr>
            <w:rFonts w:eastAsia="Calibri" w:cs="Times New Roman" w:ascii="Times New Roman" w:hAnsi="Times New Roman"/>
            <w:szCs w:val="24"/>
            <w:lang w:val="hr-HR"/>
          </w:rPr>
          <w:t>105/10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1">
        <w:r>
          <w:rPr>
            <w:rFonts w:eastAsia="Calibri" w:cs="Times New Roman" w:ascii="Times New Roman" w:hAnsi="Times New Roman"/>
            <w:szCs w:val="24"/>
            <w:lang w:val="hr-HR"/>
          </w:rPr>
          <w:t>90/11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2">
        <w:r>
          <w:rPr>
            <w:rFonts w:eastAsia="Calibri" w:cs="Times New Roman" w:ascii="Times New Roman" w:hAnsi="Times New Roman"/>
            <w:szCs w:val="24"/>
            <w:lang w:val="hr-HR"/>
          </w:rPr>
          <w:t>5/12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3">
        <w:r>
          <w:rPr>
            <w:rFonts w:eastAsia="Calibri" w:cs="Times New Roman" w:ascii="Times New Roman" w:hAnsi="Times New Roman"/>
            <w:szCs w:val="24"/>
            <w:lang w:val="hr-HR"/>
          </w:rPr>
          <w:t>16/12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4">
        <w:r>
          <w:rPr>
            <w:rFonts w:eastAsia="Calibri" w:cs="Times New Roman" w:ascii="Times New Roman" w:hAnsi="Times New Roman"/>
            <w:szCs w:val="24"/>
            <w:lang w:val="hr-HR"/>
          </w:rPr>
          <w:t>86/12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5">
        <w:r>
          <w:rPr>
            <w:rFonts w:eastAsia="Calibri" w:cs="Times New Roman" w:ascii="Times New Roman" w:hAnsi="Times New Roman"/>
            <w:szCs w:val="24"/>
            <w:lang w:val="hr-HR"/>
          </w:rPr>
          <w:t>126/12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6">
        <w:r>
          <w:rPr>
            <w:rFonts w:eastAsia="Calibri" w:cs="Times New Roman" w:ascii="Times New Roman" w:hAnsi="Times New Roman"/>
            <w:szCs w:val="24"/>
            <w:lang w:val="hr-HR"/>
          </w:rPr>
          <w:t>94/13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7">
        <w:r>
          <w:rPr>
            <w:rFonts w:eastAsia="Calibri" w:cs="Times New Roman" w:ascii="Times New Roman" w:hAnsi="Times New Roman"/>
            <w:szCs w:val="24"/>
            <w:lang w:val="hr-HR"/>
          </w:rPr>
          <w:t>152/14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8">
        <w:r>
          <w:rPr>
            <w:rFonts w:eastAsia="Calibri" w:cs="Times New Roman" w:ascii="Times New Roman" w:hAnsi="Times New Roman"/>
            <w:szCs w:val="24"/>
            <w:lang w:val="hr-HR"/>
          </w:rPr>
          <w:t>07/17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19" w:tgtFrame="_blank">
        <w:r>
          <w:rPr>
            <w:rFonts w:eastAsia="Calibri" w:cs="Times New Roman" w:ascii="Times New Roman" w:hAnsi="Times New Roman"/>
            <w:szCs w:val="24"/>
            <w:lang w:val="hr-HR"/>
          </w:rPr>
          <w:t>68/18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20" w:tgtFrame="_blank">
        <w:r>
          <w:rPr>
            <w:rFonts w:eastAsia="Calibri" w:cs="Times New Roman" w:ascii="Times New Roman" w:hAnsi="Times New Roman"/>
            <w:szCs w:val="24"/>
            <w:lang w:val="hr-HR"/>
          </w:rPr>
          <w:t>98/19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</w:t>
      </w:r>
      <w:hyperlink r:id="rId21">
        <w:r>
          <w:rPr>
            <w:rFonts w:eastAsia="Calibri" w:cs="Times New Roman" w:ascii="Times New Roman" w:hAnsi="Times New Roman"/>
            <w:szCs w:val="24"/>
            <w:lang w:val="hr-HR"/>
          </w:rPr>
          <w:t>64/20</w:t>
        </w:r>
      </w:hyperlink>
      <w:r>
        <w:rPr>
          <w:rFonts w:eastAsia="Calibri" w:cs="Times New Roman" w:ascii="Times New Roman" w:hAnsi="Times New Roman"/>
          <w:szCs w:val="24"/>
          <w:lang w:val="hr-HR"/>
        </w:rPr>
        <w:t xml:space="preserve">, 151/22, 155/23 i 156/23) i na temelju članka </w:t>
      </w:r>
      <w:r>
        <w:rPr>
          <w:rFonts w:ascii="Times New Roman" w:hAnsi="Times New Roman"/>
          <w:lang w:val="hr-HR"/>
        </w:rPr>
        <w:t>19., točke 2. Statuta Općine Negoslavci („Službeni glasnik Općine Negoslavci” broj 1/21 i 7/23)</w:t>
      </w:r>
      <w:r>
        <w:rPr>
          <w:rFonts w:eastAsia="Calibri" w:cs="Times New Roman" w:ascii="Times New Roman" w:hAnsi="Times New Roman"/>
          <w:szCs w:val="24"/>
          <w:lang w:val="hr-HR"/>
        </w:rPr>
        <w:t>, Općinsko vijeće Općine Negoslavci na svojoj redovnoj sjednici održano</w:t>
      </w:r>
      <w:r>
        <w:rPr>
          <w:rFonts w:eastAsia="Calibri" w:cs="Times New Roman" w:ascii="Times New Roman" w:hAnsi="Times New Roman"/>
          <w:color w:val="000000"/>
          <w:szCs w:val="24"/>
          <w:lang w:val="hr-HR"/>
        </w:rPr>
        <w:t>j dana 24.12.2024. godine d</w:t>
      </w:r>
      <w:r>
        <w:rPr>
          <w:rFonts w:eastAsia="Calibri" w:cs="Times New Roman" w:ascii="Times New Roman" w:hAnsi="Times New Roman"/>
          <w:szCs w:val="24"/>
          <w:lang w:val="hr-HR"/>
        </w:rPr>
        <w:t>onosi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</w:rPr>
      </w:pPr>
      <w:bookmarkStart w:id="0" w:name="_GoBack"/>
      <w:bookmarkStart w:id="1" w:name="_Toc62727858"/>
      <w:r>
        <w:rPr>
          <w:rFonts w:eastAsia="Calibri" w:cs="Times New Roman" w:ascii="Times New Roman" w:hAnsi="Times New Roman"/>
          <w:b/>
          <w:szCs w:val="24"/>
          <w:lang w:val="hr-HR"/>
        </w:rPr>
        <w:t>Program javnih potreba u obrazovanju Općine Negoslavci za 2025. godinu</w:t>
      </w:r>
      <w:bookmarkEnd w:id="0"/>
      <w:bookmarkEnd w:id="1"/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ab/>
      </w:r>
      <w:r>
        <w:rPr>
          <w:rFonts w:eastAsia="Calibri" w:cs="Times New Roman" w:ascii="Times New Roman" w:hAnsi="Times New Roman"/>
          <w:szCs w:val="24"/>
          <w:lang w:val="hr-HR"/>
        </w:rPr>
        <w:t>Za ostvarenje Programa javnih potreba u obrazovanju Općine Negoslavci za 2025. godinu planira se: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Predškolsko obrazovanje</w:t>
        <w:tab/>
      </w:r>
      <w:r>
        <w:rPr>
          <w:rFonts w:eastAsia="Calibri" w:cs="Times New Roman" w:ascii="Times New Roman" w:hAnsi="Times New Roman"/>
          <w:b/>
          <w:bCs/>
          <w:color w:val="000000"/>
          <w:sz w:val="22"/>
          <w:szCs w:val="22"/>
          <w:lang w:val="hr-HR"/>
        </w:rPr>
        <w:t xml:space="preserve">            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Obuća za predškolce </w:t>
        <w:tab/>
        <w:tab/>
        <w:tab/>
        <w:tab/>
        <w:tab/>
        <w:t xml:space="preserve">           550,00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Tekuće donacije                                                                    16.500,00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Pribor, bojanke i drugo                                                           2.000,00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Troškovi sufinanciranja prehrane predškole</w:t>
        <w:tab/>
        <w:t xml:space="preserve">                     3.000.00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Ekskurzije                                                                               1.500,00 EUR</w:t>
      </w:r>
    </w:p>
    <w:p>
      <w:pPr>
        <w:pStyle w:val="ListParagraph"/>
        <w:numPr>
          <w:ilvl w:val="0"/>
          <w:numId w:val="3"/>
        </w:numPr>
        <w:bidi w:val="0"/>
        <w:ind w:left="1560" w:hanging="426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Tekuće donacije održavanje i opremanje                                4.000,00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Srednjoškolsko obrazovanje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Sufinanciranje javnog prijevoza srednjoškolskih učenika         3.300,00 EUR</w:t>
      </w:r>
    </w:p>
    <w:p>
      <w:pPr>
        <w:pStyle w:val="Normal"/>
        <w:numPr>
          <w:ilvl w:val="0"/>
          <w:numId w:val="2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Osnovno školstvo                                                                                           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 xml:space="preserve">Tekuće donacije OŠ                                                                     1.500,00 </w:t>
      </w:r>
      <w:r>
        <w:rPr>
          <w:rFonts w:eastAsia="Calibri" w:cs="Times New Roman" w:ascii="Times New Roman" w:hAnsi="Times New Roman"/>
          <w:color w:val="000000"/>
          <w:sz w:val="22"/>
          <w:szCs w:val="24"/>
          <w:lang w:val="hr-HR"/>
        </w:rPr>
        <w:t xml:space="preserve">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Obuća za školarce</w:t>
        <w:tab/>
        <w:tab/>
        <w:tab/>
        <w:tab/>
        <w:tab/>
        <w:t xml:space="preserve">            2.300,00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Sufinanciranje ekskurzije učenicima</w:t>
        <w:tab/>
        <w:tab/>
        <w:tab/>
        <w:t xml:space="preserve">            7.000,00 EUR</w:t>
      </w:r>
    </w:p>
    <w:p>
      <w:pPr>
        <w:pStyle w:val="Normal"/>
        <w:numPr>
          <w:ilvl w:val="0"/>
          <w:numId w:val="4"/>
        </w:numPr>
        <w:bidi w:val="0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2"/>
          <w:szCs w:val="22"/>
          <w:lang w:val="hr-HR"/>
        </w:rPr>
        <w:t>Sufinanciranje škole plivanja</w:t>
        <w:tab/>
        <w:tab/>
        <w:tab/>
        <w:tab/>
        <w:t xml:space="preserve">            1.200,00 EUR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  <w:lang w:val="hr-HR"/>
        </w:rPr>
        <w:t>UKUPNO:</w:t>
        <w:tab/>
        <w:tab/>
        <w:tab/>
        <w:tab/>
        <w:tab/>
        <w:tab/>
        <w:tab/>
        <w:t xml:space="preserve">          42.850,00 EUR.</w:t>
      </w:r>
    </w:p>
    <w:p>
      <w:pPr>
        <w:pStyle w:val="Normal"/>
        <w:bidi w:val="0"/>
        <w:spacing w:before="0" w:after="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Cs w:val="24"/>
          <w:lang w:val="hr-HR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II</w:t>
      </w:r>
    </w:p>
    <w:p>
      <w:pPr>
        <w:pStyle w:val="Normal"/>
        <w:widowControl w:val="false"/>
        <w:suppressAutoHyphens w:val="true"/>
        <w:bidi w:val="0"/>
        <w:spacing w:before="0" w:after="120"/>
        <w:ind w:firstLine="720"/>
        <w:jc w:val="both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kern w:val="2"/>
          <w:szCs w:val="24"/>
          <w:lang w:val="hr-HR" w:eastAsia="zh-CN"/>
        </w:rPr>
        <w:t>Provedbene odluke u cilju realizacije ovoga programa donijeti će Općinski načelnik.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III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ab/>
        <w:t>Ovaj Program stupa na snagu dan nakon dana objave u Službenom glasniku Općine Negoslavci, a primjenjuje se od 01.01.2025. godine.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Calibri" w:cs="Times New Roman"/>
          <w:szCs w:val="24"/>
          <w:lang w:val="hr-HR"/>
        </w:rPr>
      </w:pPr>
      <w:r>
        <w:rPr>
          <w:rFonts w:eastAsia="Calibri" w:cs="Times New Roman" w:ascii="Times New Roman" w:hAnsi="Times New Roman"/>
          <w:szCs w:val="24"/>
          <w:lang w:val="hr-HR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szCs w:val="24"/>
          <w:lang w:val="hr-HR"/>
        </w:rPr>
        <w:t>PREDSJEDNIK OPĆINSKOG VIJEĆA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Cs w:val="24"/>
          <w:lang w:val="hr-HR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akon.hr/cms.htm?id=477" TargetMode="External"/><Relationship Id="rId4" Type="http://schemas.openxmlformats.org/officeDocument/2006/relationships/hyperlink" Target="https://www.zakon.hr/cms.htm?id=478" TargetMode="External"/><Relationship Id="rId5" Type="http://schemas.openxmlformats.org/officeDocument/2006/relationships/hyperlink" Target="https://www.zakon.hr/cms.htm?id=479" TargetMode="External"/><Relationship Id="rId6" Type="http://schemas.openxmlformats.org/officeDocument/2006/relationships/hyperlink" Target="https://www.zakon.hr/cms.htm?id=40813" TargetMode="External"/><Relationship Id="rId7" Type="http://schemas.openxmlformats.org/officeDocument/2006/relationships/hyperlink" Target="https://www.zakon.hr/cms.htm?id=66" TargetMode="External"/><Relationship Id="rId8" Type="http://schemas.openxmlformats.org/officeDocument/2006/relationships/hyperlink" Target="https://www.zakon.hr/cms.htm?id=67" TargetMode="External"/><Relationship Id="rId9" Type="http://schemas.openxmlformats.org/officeDocument/2006/relationships/hyperlink" Target="https://www.zakon.hr/cms.htm?id=68" TargetMode="External"/><Relationship Id="rId10" Type="http://schemas.openxmlformats.org/officeDocument/2006/relationships/hyperlink" Target="https://www.zakon.hr/cms.htm?id=69" TargetMode="External"/><Relationship Id="rId11" Type="http://schemas.openxmlformats.org/officeDocument/2006/relationships/hyperlink" Target="https://www.zakon.hr/cms.htm?id=70" TargetMode="External"/><Relationship Id="rId12" Type="http://schemas.openxmlformats.org/officeDocument/2006/relationships/hyperlink" Target="https://www.zakon.hr/cms.htm?id=71" TargetMode="External"/><Relationship Id="rId13" Type="http://schemas.openxmlformats.org/officeDocument/2006/relationships/hyperlink" Target="https://www.zakon.hr/cms.htm?id=72" TargetMode="External"/><Relationship Id="rId14" Type="http://schemas.openxmlformats.org/officeDocument/2006/relationships/hyperlink" Target="https://www.zakon.hr/cms.htm?id=73" TargetMode="External"/><Relationship Id="rId15" Type="http://schemas.openxmlformats.org/officeDocument/2006/relationships/hyperlink" Target="https://www.zakon.hr/cms.htm?id=182" TargetMode="External"/><Relationship Id="rId16" Type="http://schemas.openxmlformats.org/officeDocument/2006/relationships/hyperlink" Target="https://www.zakon.hr/cms.htm?id=480" TargetMode="External"/><Relationship Id="rId17" Type="http://schemas.openxmlformats.org/officeDocument/2006/relationships/hyperlink" Target="https://www.zakon.hr/cms.htm?id=1671" TargetMode="External"/><Relationship Id="rId18" Type="http://schemas.openxmlformats.org/officeDocument/2006/relationships/hyperlink" Target="https://www.zakon.hr/cms.htm?id=17751" TargetMode="External"/><Relationship Id="rId19" Type="http://schemas.openxmlformats.org/officeDocument/2006/relationships/hyperlink" Target="https://www.zakon.hr/cms.htm?id=31279" TargetMode="External"/><Relationship Id="rId20" Type="http://schemas.openxmlformats.org/officeDocument/2006/relationships/hyperlink" Target="https://www.zakon.hr/cms.htm?id=40815" TargetMode="External"/><Relationship Id="rId21" Type="http://schemas.openxmlformats.org/officeDocument/2006/relationships/hyperlink" Target="https://www.zakon.hr/cms.htm?id=44620" TargetMode="Externa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LibreOffice/7.4.1.2$Windows_X86_64 LibreOffice_project/3c58a8f3a960df8bc8fd77b461821e42c061c5f0</Application>
  <AppVersion>15.0000</AppVersion>
  <Pages>1</Pages>
  <Words>250</Words>
  <Characters>1521</Characters>
  <CharactersWithSpaces>2242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2024-12-31T11:47:45Z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