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ab/>
        <w:t>REPUBLIKA HRVATSKA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OPĆINA NEGOSLAVCI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Općinsko vijeće</w:t>
      </w:r>
    </w:p>
    <w:p>
      <w:pPr>
        <w:pStyle w:val="Norma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 xml:space="preserve">KLASA: 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400-02/24-01/01</w:t>
      </w:r>
    </w:p>
    <w:p>
      <w:pPr>
        <w:pStyle w:val="Norma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Calibri" w:cs="Times New Roman" w:ascii="Times New Roman" w:hAnsi="Times New Roman"/>
          <w:b/>
          <w:color w:val="000000"/>
          <w:sz w:val="22"/>
          <w:szCs w:val="22"/>
        </w:rPr>
        <w:t xml:space="preserve">URBROJ: 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2196-19-02-24-18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AU" w:eastAsia="hr-HR"/>
        </w:rPr>
        <w:t xml:space="preserve">Negoslavci,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en-AU" w:eastAsia="hr-HR"/>
        </w:rPr>
        <w:t>24. prosinca 2024.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ab/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ab/>
        <w:t xml:space="preserve">Na temelju članka 289. Zakon o socijalnoj skrbi ("Narodne novine" broj 18/22, 46/22, 119/22, 71/23 i 156/23) i članka 19., stavka 1., točke 2. Statuta Općine Negoslavci („Službeni glasnik Općine Negoslavci“ broj 1/21 i 7/23), Općinsko vijeće Općine Negoslavci na svojoj redovnoj sjednici održanoj </w:t>
      </w:r>
      <w:r>
        <w:rPr>
          <w:rFonts w:eastAsia="Calibri" w:cs="Times New Roman" w:ascii="Times New Roman" w:hAnsi="Times New Roman"/>
          <w:color w:val="000000"/>
          <w:sz w:val="22"/>
          <w:szCs w:val="22"/>
        </w:rPr>
        <w:t>dana 24.12.2024. godine do</w:t>
      </w:r>
      <w:r>
        <w:rPr>
          <w:rFonts w:eastAsia="Calibri" w:cs="Times New Roman" w:ascii="Times New Roman" w:hAnsi="Times New Roman"/>
          <w:sz w:val="22"/>
          <w:szCs w:val="22"/>
        </w:rPr>
        <w:t>nosi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  <w:lang w:val="en-AU" w:eastAsia="hr-HR"/>
        </w:rPr>
      </w:pP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2"/>
          <w:szCs w:val="22"/>
        </w:rPr>
      </w:pPr>
      <w:bookmarkStart w:id="0" w:name="_Toc62727866"/>
      <w:r>
        <w:rPr>
          <w:rFonts w:eastAsia="Times New Roman" w:cs="Times New Roman" w:ascii="Times New Roman" w:hAnsi="Times New Roman"/>
          <w:b/>
          <w:sz w:val="22"/>
          <w:szCs w:val="22"/>
          <w:lang w:eastAsia="hr-HR"/>
        </w:rPr>
        <w:t xml:space="preserve">Program </w:t>
      </w:r>
      <w:bookmarkStart w:id="1" w:name="_Hlk106190571"/>
      <w:r>
        <w:rPr>
          <w:rFonts w:eastAsia="Times New Roman" w:cs="Times New Roman" w:ascii="Times New Roman" w:hAnsi="Times New Roman"/>
          <w:b/>
          <w:sz w:val="22"/>
          <w:szCs w:val="22"/>
          <w:lang w:eastAsia="hr-HR"/>
        </w:rPr>
        <w:t>javnih potreba u socijalnoj skrbi Općini Negoslavci za 2025. godinu</w:t>
      </w:r>
      <w:bookmarkEnd w:id="0"/>
      <w:bookmarkEnd w:id="1"/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2"/>
          <w:szCs w:val="22"/>
          <w:lang w:val="en-AU" w:eastAsia="hr-HR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>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ab/>
        <w:t xml:space="preserve">Programom </w:t>
      </w:r>
      <w:r>
        <w:rPr>
          <w:rFonts w:eastAsia="Times New Roman" w:cs="Times New Roman" w:ascii="Times New Roman" w:hAnsi="Times New Roman"/>
          <w:sz w:val="22"/>
          <w:szCs w:val="22"/>
          <w:lang w:eastAsia="hr-HR"/>
        </w:rPr>
        <w:t xml:space="preserve">javnih potreba u socijalnoj skrbi </w:t>
      </w: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 xml:space="preserve">u Općini Negoslavci za 2025. godinu osigurava se zaštita i pomaganje ugroženih i nemoćnih osoba, osoba s invaliditetom i/ili drugih osoba koje same ili uz pomoć članova obitelji ne mogu zadovoljiti svoje potrebe zbog nepovoljnih osobnih, gospodarskih, socijalnih i drugih okolnosti.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  <w:lang w:val="en-AU" w:eastAsia="hr-HR"/>
        </w:rPr>
      </w:pP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>II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ab/>
      </w: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>Za ostvarenje Programa javnih potreba u socijalnoj skrbi Općini Negoslavci za 2024. godinu u proračunu Općine osigurana su sredstva u sljedećim iznosima:</w:t>
      </w:r>
    </w:p>
    <w:tbl>
      <w:tblPr>
        <w:tblW w:w="7958" w:type="dxa"/>
        <w:jc w:val="left"/>
        <w:tblInd w:w="113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145"/>
        <w:gridCol w:w="3812"/>
      </w:tblGrid>
      <w:tr>
        <w:trPr>
          <w:trHeight w:val="252" w:hRule="atLeast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AU" w:eastAsia="hr-HR" w:bidi="ar-SA"/>
              </w:rPr>
              <w:t>NAZIV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AU" w:eastAsia="hr-HR" w:bidi="ar-SA"/>
              </w:rPr>
              <w:t>PLANIRANA SREDSTVA</w:t>
            </w:r>
          </w:p>
        </w:tc>
      </w:tr>
      <w:tr>
        <w:trPr>
          <w:trHeight w:val="266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Pomoć obitelji i kućanstvima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1.000,00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Jednokratne pomoći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9.000,00 EUR</w:t>
            </w:r>
          </w:p>
        </w:tc>
      </w:tr>
      <w:tr>
        <w:trPr>
          <w:trHeight w:val="266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Jednokratne pomoći umirovljenicima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15.000,00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Paketi za potrebite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1.000,00 EUR</w:t>
            </w:r>
          </w:p>
        </w:tc>
      </w:tr>
      <w:tr>
        <w:trPr>
          <w:trHeight w:val="252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Sufinanciranje prijevoza građana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10.000,00 EUR</w:t>
            </w:r>
          </w:p>
        </w:tc>
      </w:tr>
      <w:tr>
        <w:trPr>
          <w:trHeight w:val="339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Dječji paketići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AU" w:eastAsia="hr-HR" w:bidi="ar-SA"/>
              </w:rPr>
              <w:t>2.000,00 EUR</w:t>
            </w:r>
          </w:p>
        </w:tc>
      </w:tr>
      <w:tr>
        <w:trPr>
          <w:trHeight w:val="338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AU" w:eastAsia="hr-HR"/>
              </w:rPr>
              <w:t>Sportska nagrada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AU" w:eastAsia="hr-HR"/>
              </w:rPr>
              <w:t>500,00 EUR</w:t>
            </w:r>
          </w:p>
        </w:tc>
      </w:tr>
      <w:tr>
        <w:trPr>
          <w:trHeight w:val="395" w:hRule="atLeast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AU" w:eastAsia="hr-HR" w:bidi="ar-SA"/>
              </w:rPr>
              <w:t>UKUPNO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AU" w:eastAsia="hr-HR" w:bidi="ar-SA"/>
              </w:rPr>
              <w:t>38.500,00 EUR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ab/>
        <w:t>Za nepredviđene intervencije u Programu, Općinski načelnik Općine može priznati prava iz socijalne skrbi i van stavki utvrđenih ovim Programom u slučaju  kada se osobe trenutno nalaze u nepredviđenim okolnostima (bolest, smrt člana obitelji i dr.) ili kada žive u osobito teškim materijalnim i socijalnim prilikama.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>III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val="en-AU" w:eastAsia="hr-HR"/>
        </w:rPr>
        <w:tab/>
      </w:r>
      <w:r>
        <w:rPr>
          <w:rFonts w:eastAsia="Times New Roman" w:cs="Times New Roman" w:ascii="Times New Roman" w:hAnsi="Times New Roman"/>
          <w:bCs/>
          <w:sz w:val="22"/>
          <w:szCs w:val="22"/>
          <w:lang w:val="en-AU" w:eastAsia="hr-HR"/>
        </w:rPr>
        <w:t>Uvjeti, kriteriji te postupak za realizaciju programa utvrdit će Općinski načelnik posebnom Odlukom.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  <w:lang w:val="en-AU" w:eastAsia="hr-HR"/>
        </w:rPr>
        <w:t>Za provedbu ovog Programa zadužuje se Jedinstveni upravni odjel Općine Negoslavci.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sz w:val="22"/>
          <w:szCs w:val="22"/>
          <w:lang w:val="en-AU" w:eastAsia="hr-HR"/>
        </w:rPr>
      </w:pPr>
      <w:r>
        <w:rPr>
          <w:rFonts w:eastAsia="Times New Roman" w:cs="Times New Roman" w:ascii="Times New Roman" w:hAnsi="Times New Roman"/>
          <w:bCs/>
          <w:sz w:val="22"/>
          <w:szCs w:val="22"/>
          <w:lang w:val="en-AU" w:eastAsia="hr-HR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>IV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ab/>
      </w:r>
      <w:bookmarkStart w:id="2" w:name="_Hlk62477095"/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 xml:space="preserve">Ovaj Program će se objaviti u Službenom glasniku Općine Negoslavci, a stupa na snagu i primjenjuje se od 01.01.2025. godine. </w:t>
      </w:r>
      <w:bookmarkEnd w:id="2"/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en-AU" w:eastAsia="hr-HR"/>
        </w:rPr>
        <w:t>PREDSJEDNIK OPĆINSKOG VIJEĆA</w:t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val="en-AU" w:eastAsia="hr-HR"/>
        </w:rPr>
        <w:t>Miodrag Mišanović</w:t>
      </w:r>
    </w:p>
    <w:sectPr>
      <w:footerReference w:type="default" r:id="rId3"/>
      <w:type w:val="nextPage"/>
      <w:pgSz w:w="11906" w:h="16838"/>
      <w:pgMar w:left="1134" w:right="1134" w:gutter="0" w:header="0" w:top="851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LibreOffice/7.4.1.2$Windows_X86_64 LibreOffice_project/3c58a8f3a960df8bc8fd77b461821e42c061c5f0</Application>
  <AppVersion>15.0000</AppVersion>
  <Pages>1</Pages>
  <Words>282</Words>
  <Characters>1754</Characters>
  <CharactersWithSpaces>2010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2024-01-11T09:22:00Z</dcterms:created>
  <dc:creator/>
  <dc:description/>
  <dc:language>hr-HR</dc:language>
  <cp:lastModifiedBy/>
  <dcterms:modified xsi:type="dcterms:W3CDTF">2025-01-13T13:03:54Z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