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ab/>
        <w:tab/>
      </w:r>
      <w:r>
        <w:rPr/>
        <w:drawing>
          <wp:inline distT="0" distB="0" distL="0" distR="0">
            <wp:extent cx="475615" cy="59753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REPUBLIKA HRVATSKA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VUKOVARSKO-SRIJEMSKA ŽUPANIJA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OPĆINA NEGOSLAVCI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Općinsko vijeće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KLASA: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 xml:space="preserve"> 400-0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2/23-01/01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URBROJ:</w:t>
      </w:r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 2196-19-0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2-24-30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Negoslavci,</w:t>
      </w:r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 24. prosinca 2024.</w:t>
      </w:r>
    </w:p>
    <w:p>
      <w:pPr>
        <w:pStyle w:val="Normal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hr-HR"/>
        </w:rPr>
      </w:pPr>
      <w:r>
        <w:rPr>
          <w:rFonts w:eastAsia="Calibri" w:cs="Times New Roman" w:ascii="Times New Roman" w:hAnsi="Times New Roman"/>
          <w:sz w:val="24"/>
          <w:szCs w:val="24"/>
          <w:lang w:val="hr-HR"/>
        </w:rPr>
      </w:r>
    </w:p>
    <w:p>
      <w:pPr>
        <w:pStyle w:val="Normal"/>
        <w:bidi w:val="0"/>
        <w:ind w:firstLine="72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Na temelju članka 48 i 49 Zakona o predškolskom odgoju i obrazovanju („Narodne novine“ broj </w:t>
      </w:r>
      <w:hyperlink r:id="rId3">
        <w:r>
          <w:rPr>
            <w:rFonts w:eastAsia="Calibri" w:cs="Times New Roman" w:ascii="Times New Roman" w:hAnsi="Times New Roman"/>
            <w:sz w:val="24"/>
            <w:szCs w:val="24"/>
            <w:lang w:val="hr-HR"/>
          </w:rPr>
          <w:t>10/97</w:t>
        </w:r>
      </w:hyperlink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, </w:t>
      </w:r>
      <w:hyperlink r:id="rId4">
        <w:r>
          <w:rPr>
            <w:rFonts w:eastAsia="Calibri" w:cs="Times New Roman" w:ascii="Times New Roman" w:hAnsi="Times New Roman"/>
            <w:sz w:val="24"/>
            <w:szCs w:val="24"/>
            <w:lang w:val="hr-HR"/>
          </w:rPr>
          <w:t>107/07</w:t>
        </w:r>
      </w:hyperlink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, </w:t>
      </w:r>
      <w:hyperlink r:id="rId5">
        <w:r>
          <w:rPr>
            <w:rFonts w:eastAsia="Calibri" w:cs="Times New Roman" w:ascii="Times New Roman" w:hAnsi="Times New Roman"/>
            <w:sz w:val="24"/>
            <w:szCs w:val="24"/>
            <w:lang w:val="hr-HR"/>
          </w:rPr>
          <w:t>94/13</w:t>
        </w:r>
      </w:hyperlink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, </w:t>
      </w:r>
      <w:hyperlink r:id="rId6">
        <w:r>
          <w:rPr>
            <w:rFonts w:eastAsia="Calibri" w:cs="Times New Roman" w:ascii="Times New Roman" w:hAnsi="Times New Roman"/>
            <w:sz w:val="24"/>
            <w:szCs w:val="24"/>
            <w:lang w:val="hr-HR"/>
          </w:rPr>
          <w:t>98/19</w:t>
        </w:r>
      </w:hyperlink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, 57/22 i 101/23), u svezi sa člankom 143. Zakona o odgoju i obrazovanju u osnovnoj i srednjoj školi („Narodne novine“ broj </w:t>
      </w:r>
      <w:hyperlink r:id="rId7">
        <w:r>
          <w:rPr>
            <w:rFonts w:eastAsia="Calibri" w:cs="Times New Roman" w:ascii="Times New Roman" w:hAnsi="Times New Roman"/>
            <w:sz w:val="24"/>
            <w:szCs w:val="24"/>
            <w:lang w:val="hr-HR"/>
          </w:rPr>
          <w:t>87/08</w:t>
        </w:r>
      </w:hyperlink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, </w:t>
      </w:r>
      <w:hyperlink r:id="rId8">
        <w:r>
          <w:rPr>
            <w:rFonts w:eastAsia="Calibri" w:cs="Times New Roman" w:ascii="Times New Roman" w:hAnsi="Times New Roman"/>
            <w:sz w:val="24"/>
            <w:szCs w:val="24"/>
            <w:lang w:val="hr-HR"/>
          </w:rPr>
          <w:t>86/09</w:t>
        </w:r>
      </w:hyperlink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, </w:t>
      </w:r>
      <w:hyperlink r:id="rId9">
        <w:r>
          <w:rPr>
            <w:rFonts w:eastAsia="Calibri" w:cs="Times New Roman" w:ascii="Times New Roman" w:hAnsi="Times New Roman"/>
            <w:sz w:val="24"/>
            <w:szCs w:val="24"/>
            <w:lang w:val="hr-HR"/>
          </w:rPr>
          <w:t>92/10</w:t>
        </w:r>
      </w:hyperlink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, </w:t>
      </w:r>
      <w:hyperlink r:id="rId10">
        <w:r>
          <w:rPr>
            <w:rFonts w:eastAsia="Calibri" w:cs="Times New Roman" w:ascii="Times New Roman" w:hAnsi="Times New Roman"/>
            <w:sz w:val="24"/>
            <w:szCs w:val="24"/>
            <w:lang w:val="hr-HR"/>
          </w:rPr>
          <w:t>105/10</w:t>
        </w:r>
      </w:hyperlink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, </w:t>
      </w:r>
      <w:hyperlink r:id="rId11">
        <w:r>
          <w:rPr>
            <w:rFonts w:eastAsia="Calibri" w:cs="Times New Roman" w:ascii="Times New Roman" w:hAnsi="Times New Roman"/>
            <w:sz w:val="24"/>
            <w:szCs w:val="24"/>
            <w:lang w:val="hr-HR"/>
          </w:rPr>
          <w:t>90/11</w:t>
        </w:r>
      </w:hyperlink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, </w:t>
      </w:r>
      <w:hyperlink r:id="rId12">
        <w:r>
          <w:rPr>
            <w:rFonts w:eastAsia="Calibri" w:cs="Times New Roman" w:ascii="Times New Roman" w:hAnsi="Times New Roman"/>
            <w:sz w:val="24"/>
            <w:szCs w:val="24"/>
            <w:lang w:val="hr-HR"/>
          </w:rPr>
          <w:t>5/12</w:t>
        </w:r>
      </w:hyperlink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, </w:t>
      </w:r>
      <w:hyperlink r:id="rId13">
        <w:r>
          <w:rPr>
            <w:rFonts w:eastAsia="Calibri" w:cs="Times New Roman" w:ascii="Times New Roman" w:hAnsi="Times New Roman"/>
            <w:sz w:val="24"/>
            <w:szCs w:val="24"/>
            <w:lang w:val="hr-HR"/>
          </w:rPr>
          <w:t>16/12</w:t>
        </w:r>
      </w:hyperlink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, </w:t>
      </w:r>
      <w:hyperlink r:id="rId14">
        <w:r>
          <w:rPr>
            <w:rFonts w:eastAsia="Calibri" w:cs="Times New Roman" w:ascii="Times New Roman" w:hAnsi="Times New Roman"/>
            <w:sz w:val="24"/>
            <w:szCs w:val="24"/>
            <w:lang w:val="hr-HR"/>
          </w:rPr>
          <w:t>86/12</w:t>
        </w:r>
      </w:hyperlink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, </w:t>
      </w:r>
      <w:hyperlink r:id="rId15">
        <w:r>
          <w:rPr>
            <w:rFonts w:eastAsia="Calibri" w:cs="Times New Roman" w:ascii="Times New Roman" w:hAnsi="Times New Roman"/>
            <w:sz w:val="24"/>
            <w:szCs w:val="24"/>
            <w:lang w:val="hr-HR"/>
          </w:rPr>
          <w:t>126/12</w:t>
        </w:r>
      </w:hyperlink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, </w:t>
      </w:r>
      <w:hyperlink r:id="rId16">
        <w:r>
          <w:rPr>
            <w:rFonts w:eastAsia="Calibri" w:cs="Times New Roman" w:ascii="Times New Roman" w:hAnsi="Times New Roman"/>
            <w:sz w:val="24"/>
            <w:szCs w:val="24"/>
            <w:lang w:val="hr-HR"/>
          </w:rPr>
          <w:t>94/13</w:t>
        </w:r>
      </w:hyperlink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, </w:t>
      </w:r>
      <w:hyperlink r:id="rId17">
        <w:r>
          <w:rPr>
            <w:rFonts w:eastAsia="Calibri" w:cs="Times New Roman" w:ascii="Times New Roman" w:hAnsi="Times New Roman"/>
            <w:sz w:val="24"/>
            <w:szCs w:val="24"/>
            <w:lang w:val="hr-HR"/>
          </w:rPr>
          <w:t>152/14</w:t>
        </w:r>
      </w:hyperlink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, </w:t>
      </w:r>
      <w:hyperlink r:id="rId18">
        <w:r>
          <w:rPr>
            <w:rFonts w:eastAsia="Calibri" w:cs="Times New Roman" w:ascii="Times New Roman" w:hAnsi="Times New Roman"/>
            <w:sz w:val="24"/>
            <w:szCs w:val="24"/>
            <w:lang w:val="hr-HR"/>
          </w:rPr>
          <w:t>07/17</w:t>
        </w:r>
      </w:hyperlink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, </w:t>
      </w:r>
      <w:hyperlink r:id="rId19" w:tgtFrame="_blank">
        <w:r>
          <w:rPr>
            <w:rFonts w:eastAsia="Calibri" w:cs="Times New Roman" w:ascii="Times New Roman" w:hAnsi="Times New Roman"/>
            <w:sz w:val="24"/>
            <w:szCs w:val="24"/>
            <w:lang w:val="hr-HR"/>
          </w:rPr>
          <w:t>68/18</w:t>
        </w:r>
      </w:hyperlink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, </w:t>
      </w:r>
      <w:hyperlink r:id="rId20" w:tgtFrame="_blank">
        <w:r>
          <w:rPr>
            <w:rFonts w:eastAsia="Calibri" w:cs="Times New Roman" w:ascii="Times New Roman" w:hAnsi="Times New Roman"/>
            <w:sz w:val="24"/>
            <w:szCs w:val="24"/>
            <w:lang w:val="hr-HR"/>
          </w:rPr>
          <w:t>98/19</w:t>
        </w:r>
      </w:hyperlink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, </w:t>
      </w:r>
      <w:hyperlink r:id="rId21">
        <w:r>
          <w:rPr>
            <w:rFonts w:eastAsia="Calibri" w:cs="Times New Roman" w:ascii="Times New Roman" w:hAnsi="Times New Roman"/>
            <w:sz w:val="24"/>
            <w:szCs w:val="24"/>
            <w:lang w:val="hr-HR"/>
          </w:rPr>
          <w:t>64/20</w:t>
        </w:r>
      </w:hyperlink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, 151/22, 155/23 i 156/23) i na temelju članka </w:t>
      </w:r>
      <w:r>
        <w:rPr>
          <w:rFonts w:ascii="Times New Roman" w:hAnsi="Times New Roman"/>
          <w:sz w:val="24"/>
          <w:szCs w:val="24"/>
          <w:lang w:val="hr-HR"/>
        </w:rPr>
        <w:t>19., stavka 1., točke 2. Statuta Općine Negoslavci („Službeni glasnik Općine Negoslavci” broj 1/21 i 7/23)</w:t>
      </w:r>
      <w:r>
        <w:rPr>
          <w:rFonts w:eastAsia="Calibri" w:cs="Times New Roman" w:ascii="Times New Roman" w:hAnsi="Times New Roman"/>
          <w:sz w:val="24"/>
          <w:szCs w:val="24"/>
          <w:lang w:val="hr-HR"/>
        </w:rPr>
        <w:t>, Općinsko vijeće Općine Negoslavci na svojoj redovnoj sjednici održanoj dana 24.12.2024. godine donosi</w:t>
      </w:r>
    </w:p>
    <w:p>
      <w:pPr>
        <w:pStyle w:val="Normal"/>
        <w:bidi w:val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hr-HR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 xml:space="preserve">Izmjene i dopune </w:t>
      </w:r>
      <w:bookmarkStart w:id="0" w:name="_Toc62727858"/>
      <w:bookmarkStart w:id="1" w:name="_GoBack"/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Programa javnih potreba u obrazovanju Općine Negoslavci za 2024. godinu</w:t>
      </w:r>
      <w:bookmarkEnd w:id="0"/>
      <w:bookmarkEnd w:id="1"/>
    </w:p>
    <w:p>
      <w:pPr>
        <w:pStyle w:val="Normal"/>
        <w:keepNext w:val="true"/>
        <w:numPr>
          <w:ilvl w:val="0"/>
          <w:numId w:val="0"/>
        </w:numPr>
        <w:bidi w:val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sz w:val="24"/>
          <w:szCs w:val="24"/>
          <w:lang w:val="hr-HR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I</w:t>
      </w:r>
    </w:p>
    <w:p>
      <w:pPr>
        <w:pStyle w:val="Normal"/>
        <w:widowControl w:val="false"/>
        <w:suppressAutoHyphens w:val="true"/>
        <w:bidi w:val="0"/>
        <w:ind w:right="-28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val="hr-HR" w:eastAsia="zh-CN"/>
        </w:rPr>
        <w:t xml:space="preserve">U Programu javnih potreba u obrazovanju Općine Negoslavci za 2024. godinu („Službeni glasnik Općine Negoslavci” broj 8/23) (u daljem tekstu: Program), točka I. mijenja se i glasi: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ab/>
        <w:t>„</w:t>
      </w:r>
      <w:r>
        <w:rPr>
          <w:rFonts w:eastAsia="Calibri" w:cs="Times New Roman" w:ascii="Times New Roman" w:hAnsi="Times New Roman"/>
          <w:sz w:val="24"/>
          <w:szCs w:val="24"/>
          <w:lang w:val="hr-HR"/>
        </w:rPr>
        <w:t>Za ostvarenje Programa javnih potreba u obrazovanju Općine Negoslavci za 2024. godinu planira se: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val="hr-HR"/>
        </w:rPr>
        <w:t>Predškolsko obrazovanje</w:t>
        <w:tab/>
      </w:r>
      <w:r>
        <w:rPr>
          <w:rFonts w:eastAsia="Calibri" w:cs="Times New Roman" w:ascii="Times New Roman" w:hAnsi="Times New Roman"/>
          <w:b/>
          <w:bCs/>
          <w:sz w:val="24"/>
          <w:szCs w:val="24"/>
          <w:lang w:val="hr-HR"/>
        </w:rPr>
        <w:t xml:space="preserve">            </w:t>
      </w:r>
    </w:p>
    <w:p>
      <w:pPr>
        <w:pStyle w:val="ListParagraph"/>
        <w:numPr>
          <w:ilvl w:val="0"/>
          <w:numId w:val="3"/>
        </w:numPr>
        <w:bidi w:val="0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val="hr-HR"/>
        </w:rPr>
        <w:t>Obuća za djecu u vrtiću</w:t>
      </w:r>
      <w:r>
        <w:rPr>
          <w:rFonts w:eastAsia="Calibri" w:cs="Times New Roman" w:ascii="Times New Roman" w:hAnsi="Times New Roman"/>
          <w:sz w:val="24"/>
          <w:szCs w:val="24"/>
          <w:lang w:val="hr-HR"/>
        </w:rPr>
        <w:tab/>
        <w:tab/>
        <w:tab/>
        <w:tab/>
        <w:tab/>
        <w:t xml:space="preserve">      550,00 EUR</w:t>
      </w:r>
    </w:p>
    <w:p>
      <w:pPr>
        <w:pStyle w:val="ListParagraph"/>
        <w:numPr>
          <w:ilvl w:val="0"/>
          <w:numId w:val="3"/>
        </w:numPr>
        <w:bidi w:val="0"/>
        <w:ind w:left="1560" w:hanging="426"/>
        <w:jc w:val="both"/>
        <w:rPr>
          <w:b/>
          <w:b/>
          <w:bCs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val="hr-HR"/>
        </w:rPr>
        <w:t>Tekuće donacije                                                                   22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val="hr-HR"/>
        </w:rPr>
        <w:t>.500,00 EUR</w:t>
      </w:r>
    </w:p>
    <w:p>
      <w:pPr>
        <w:pStyle w:val="ListParagraph"/>
        <w:numPr>
          <w:ilvl w:val="0"/>
          <w:numId w:val="3"/>
        </w:numPr>
        <w:bidi w:val="0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Pribor, bojanke i drugo                                                           2.000,00 EUR</w:t>
      </w:r>
    </w:p>
    <w:p>
      <w:pPr>
        <w:pStyle w:val="ListParagraph"/>
        <w:numPr>
          <w:ilvl w:val="0"/>
          <w:numId w:val="3"/>
        </w:numPr>
        <w:bidi w:val="0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Troškovi sufinanciranja prehrane predškole</w:t>
        <w:tab/>
        <w:t xml:space="preserve">                3.000.00 EUR</w:t>
      </w:r>
    </w:p>
    <w:p>
      <w:pPr>
        <w:pStyle w:val="ListParagraph"/>
        <w:numPr>
          <w:ilvl w:val="0"/>
          <w:numId w:val="3"/>
        </w:numPr>
        <w:bidi w:val="0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Ekskurzije                                                                               1.500,00 EUR</w:t>
      </w:r>
    </w:p>
    <w:p>
      <w:pPr>
        <w:pStyle w:val="ListParagraph"/>
        <w:numPr>
          <w:ilvl w:val="0"/>
          <w:numId w:val="3"/>
        </w:numPr>
        <w:bidi w:val="0"/>
        <w:ind w:left="156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Tekuće donacije održavanje i opremanje                                4.000,00 EUR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Srednjoškolsko obrazovanje</w:t>
      </w:r>
    </w:p>
    <w:p>
      <w:pPr>
        <w:pStyle w:val="Normal"/>
        <w:numPr>
          <w:ilvl w:val="0"/>
          <w:numId w:val="4"/>
        </w:numPr>
        <w:bidi w:val="0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Sufinanciranje javnog prijevoza srednjoškolskih učenika        10.300,00 EUR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 xml:space="preserve">Osnovno školstvo                                                                                           </w:t>
      </w:r>
    </w:p>
    <w:p>
      <w:pPr>
        <w:pStyle w:val="Normal"/>
        <w:numPr>
          <w:ilvl w:val="0"/>
          <w:numId w:val="4"/>
        </w:numPr>
        <w:bidi w:val="0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val="hr-HR"/>
        </w:rPr>
        <w:t>Tekuće donacije OŠ                                                                4.500,00  EUR</w:t>
      </w:r>
    </w:p>
    <w:p>
      <w:pPr>
        <w:pStyle w:val="Normal"/>
        <w:numPr>
          <w:ilvl w:val="0"/>
          <w:numId w:val="4"/>
        </w:numPr>
        <w:bidi w:val="0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Obuća za školarce</w:t>
        <w:tab/>
        <w:tab/>
        <w:tab/>
        <w:tab/>
        <w:tab/>
        <w:t xml:space="preserve">                  2.300,00 EUR</w:t>
      </w:r>
    </w:p>
    <w:p>
      <w:pPr>
        <w:pStyle w:val="Normal"/>
        <w:numPr>
          <w:ilvl w:val="0"/>
          <w:numId w:val="4"/>
        </w:numPr>
        <w:bidi w:val="0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Sufinanciranje ekskurzije učenicima</w:t>
        <w:tab/>
        <w:tab/>
        <w:tab/>
        <w:t xml:space="preserve">                  7.000,00 EUR</w:t>
      </w:r>
    </w:p>
    <w:p>
      <w:pPr>
        <w:pStyle w:val="Normal"/>
        <w:numPr>
          <w:ilvl w:val="0"/>
          <w:numId w:val="4"/>
        </w:numPr>
        <w:bidi w:val="0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val="hr-HR"/>
        </w:rPr>
        <w:t>Sufinanciranje škole plivanja</w:t>
        <w:tab/>
        <w:tab/>
        <w:tab/>
        <w:tab/>
        <w:t xml:space="preserve">            0,00 EUR</w:t>
      </w:r>
    </w:p>
    <w:p>
      <w:pPr>
        <w:pStyle w:val="Normal"/>
        <w:bidi w:val="0"/>
        <w:spacing w:before="0" w:after="0"/>
        <w:ind w:left="7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val="hr-HR"/>
        </w:rPr>
        <w:t>UKUPNO:</w:t>
        <w:tab/>
        <w:tab/>
        <w:tab/>
        <w:tab/>
        <w:tab/>
        <w:tab/>
        <w:tab/>
        <w:t xml:space="preserve">               57.650,00 EUR.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lang w:val="hr-HR"/>
        </w:rPr>
        <w:t>„</w:t>
      </w:r>
    </w:p>
    <w:p>
      <w:pPr>
        <w:pStyle w:val="Normal"/>
        <w:bidi w:val="0"/>
        <w:spacing w:before="0" w:after="0"/>
        <w:ind w:left="720" w:hanging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hr-HR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II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AU" w:eastAsia="hr-HR"/>
        </w:rPr>
        <w:tab/>
        <w:t>Ostale odredbe Programa se ne mijenjaju, niti se dopunjavaju.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val="hr-HR"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val="en-AU" w:eastAsia="hr-HR"/>
        </w:rPr>
        <w:t>III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en-AU" w:eastAsia="hr-HR"/>
        </w:rPr>
        <w:tab/>
        <w:t xml:space="preserve">Izmjene i dopune </w:t>
      </w:r>
      <w:r>
        <w:rPr>
          <w:rFonts w:eastAsia="Andale Sans UI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hr-HR" w:eastAsia="zh-CN"/>
        </w:rPr>
        <w:t>Programu javnih potreba u obrazovanju Općine Negoslavci za 2024. godinu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hr-HR" w:eastAsia="hr-HR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en-AU" w:eastAsia="hr-HR"/>
        </w:rPr>
        <w:t xml:space="preserve"> stupaju na snagu dan nakon dana objave u Službenom glasniku Općine Negoslavci.</w:t>
      </w:r>
    </w:p>
    <w:p>
      <w:pPr>
        <w:pStyle w:val="Normal"/>
        <w:bidi w:val="0"/>
        <w:ind w:firstLine="708"/>
        <w:jc w:val="both"/>
        <w:rPr>
          <w:rFonts w:ascii="Times New Roman" w:hAnsi="Times New Roman" w:eastAsia="Calibri" w:cs="Times New Roman"/>
          <w:sz w:val="24"/>
          <w:szCs w:val="24"/>
          <w:lang w:val="hr-HR"/>
        </w:rPr>
      </w:pPr>
      <w:r>
        <w:rPr>
          <w:rFonts w:eastAsia="Calibri" w:cs="Times New Roman" w:ascii="Times New Roman" w:hAnsi="Times New Roman"/>
          <w:sz w:val="24"/>
          <w:szCs w:val="24"/>
          <w:lang w:val="hr-HR"/>
        </w:rPr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PREDSJEDNIK OPĆINSKOG VIJEĆA</w:t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val="hr-HR"/>
        </w:rPr>
        <w:t>Miodrag Mišanović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Internetskapoveznica">
    <w:name w:val="Hyperlink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zakon.hr/cms.htm?id=477" TargetMode="External"/><Relationship Id="rId4" Type="http://schemas.openxmlformats.org/officeDocument/2006/relationships/hyperlink" Target="https://www.zakon.hr/cms.htm?id=478" TargetMode="External"/><Relationship Id="rId5" Type="http://schemas.openxmlformats.org/officeDocument/2006/relationships/hyperlink" Target="https://www.zakon.hr/cms.htm?id=479" TargetMode="External"/><Relationship Id="rId6" Type="http://schemas.openxmlformats.org/officeDocument/2006/relationships/hyperlink" Target="https://www.zakon.hr/cms.htm?id=40813" TargetMode="External"/><Relationship Id="rId7" Type="http://schemas.openxmlformats.org/officeDocument/2006/relationships/hyperlink" Target="https://www.zakon.hr/cms.htm?id=66" TargetMode="External"/><Relationship Id="rId8" Type="http://schemas.openxmlformats.org/officeDocument/2006/relationships/hyperlink" Target="https://www.zakon.hr/cms.htm?id=67" TargetMode="External"/><Relationship Id="rId9" Type="http://schemas.openxmlformats.org/officeDocument/2006/relationships/hyperlink" Target="https://www.zakon.hr/cms.htm?id=68" TargetMode="External"/><Relationship Id="rId10" Type="http://schemas.openxmlformats.org/officeDocument/2006/relationships/hyperlink" Target="https://www.zakon.hr/cms.htm?id=69" TargetMode="External"/><Relationship Id="rId11" Type="http://schemas.openxmlformats.org/officeDocument/2006/relationships/hyperlink" Target="https://www.zakon.hr/cms.htm?id=70" TargetMode="External"/><Relationship Id="rId12" Type="http://schemas.openxmlformats.org/officeDocument/2006/relationships/hyperlink" Target="https://www.zakon.hr/cms.htm?id=71" TargetMode="External"/><Relationship Id="rId13" Type="http://schemas.openxmlformats.org/officeDocument/2006/relationships/hyperlink" Target="https://www.zakon.hr/cms.htm?id=72" TargetMode="External"/><Relationship Id="rId14" Type="http://schemas.openxmlformats.org/officeDocument/2006/relationships/hyperlink" Target="https://www.zakon.hr/cms.htm?id=73" TargetMode="External"/><Relationship Id="rId15" Type="http://schemas.openxmlformats.org/officeDocument/2006/relationships/hyperlink" Target="https://www.zakon.hr/cms.htm?id=182" TargetMode="External"/><Relationship Id="rId16" Type="http://schemas.openxmlformats.org/officeDocument/2006/relationships/hyperlink" Target="https://www.zakon.hr/cms.htm?id=480" TargetMode="External"/><Relationship Id="rId17" Type="http://schemas.openxmlformats.org/officeDocument/2006/relationships/hyperlink" Target="https://www.zakon.hr/cms.htm?id=1671" TargetMode="External"/><Relationship Id="rId18" Type="http://schemas.openxmlformats.org/officeDocument/2006/relationships/hyperlink" Target="https://www.zakon.hr/cms.htm?id=17751" TargetMode="External"/><Relationship Id="rId19" Type="http://schemas.openxmlformats.org/officeDocument/2006/relationships/hyperlink" Target="https://www.zakon.hr/cms.htm?id=31279" TargetMode="External"/><Relationship Id="rId20" Type="http://schemas.openxmlformats.org/officeDocument/2006/relationships/hyperlink" Target="https://www.zakon.hr/cms.htm?id=40815" TargetMode="External"/><Relationship Id="rId21" Type="http://schemas.openxmlformats.org/officeDocument/2006/relationships/hyperlink" Target="https://www.zakon.hr/cms.htm?id=44620" TargetMode="Externa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177</TotalTime>
  <Application>LibreOffice/7.4.1.2$Windows_X86_64 LibreOffice_project/3c58a8f3a960df8bc8fd77b461821e42c061c5f0</Application>
  <AppVersion>15.0000</AppVersion>
  <Pages>1</Pages>
  <Words>288</Words>
  <Characters>1713</Characters>
  <CharactersWithSpaces>2472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2025-01-08T14:40:01Z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