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ab/>
        <w:tab/>
      </w:r>
      <w:r>
        <w:rPr/>
        <w:drawing>
          <wp:inline distT="0" distB="0" distL="0" distR="0">
            <wp:extent cx="474980" cy="599440"/>
            <wp:effectExtent l="0" t="0" r="0" b="0"/>
            <wp:docPr id="1" name="Slika 1" descr="Š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Šahovn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ab/>
        <w:t>REPUBLIKA HRVATSKA</w:t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>VUKOVARSKO-SRIJEMSKA ŽUPANIJA</w:t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>OPĆINA NEGOSLAVCI</w:t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>Općinski načelnik</w:t>
      </w:r>
    </w:p>
    <w:p>
      <w:pPr>
        <w:pStyle w:val="Normal"/>
        <w:bidi w:val="0"/>
        <w:spacing w:before="0" w:after="0"/>
        <w:contextualSpacing/>
        <w:jc w:val="left"/>
        <w:rPr>
          <w:rFonts w:eastAsia="Calibri"/>
        </w:rPr>
      </w:pPr>
      <w:r>
        <w:rPr>
          <w:rFonts w:ascii="Times New Roman" w:hAnsi="Times New Roman"/>
          <w:b/>
        </w:rPr>
        <w:t>KLASA:</w:t>
      </w:r>
      <w:r>
        <w:rPr>
          <w:rFonts w:ascii="Times New Roman" w:hAnsi="Times New Roman"/>
        </w:rPr>
        <w:t xml:space="preserve"> 007-02/24-01/01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URBROJ:</w:t>
      </w:r>
      <w:r>
        <w:rPr>
          <w:rFonts w:ascii="Times New Roman" w:hAnsi="Times New Roman"/>
        </w:rPr>
        <w:t xml:space="preserve"> 2196-19-0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-25-06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b/>
          <w:kern w:val="0"/>
          <w:lang w:val="hr-HR" w:eastAsia="zh-CN"/>
        </w:rPr>
        <w:t>Negoslavci,</w:t>
      </w:r>
      <w:r>
        <w:rPr>
          <w:rFonts w:eastAsia="Calibri" w:ascii="Times New Roman" w:hAnsi="Times New Roman"/>
          <w:kern w:val="0"/>
          <w:lang w:val="hr-HR" w:eastAsia="zh-CN"/>
        </w:rPr>
        <w:t xml:space="preserve"> 29. siječnja 2025.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firstLine="709"/>
        <w:jc w:val="both"/>
        <w:rPr/>
      </w:pPr>
      <w:r>
        <w:rPr>
          <w:lang w:val="hr-HR"/>
        </w:rPr>
        <w:t>Na temelju članka 22. Pravilnika o sufinanciranju javnih potreba od interesa za opće dobro koje provode udruge na području Općine Negoslavci (</w:t>
      </w:r>
      <w:r>
        <w:rPr/>
        <w:t>KLASA: 007-02/19-01/01, URBROJ: 2196/06-01-19-01, od 17.01.2019. godine</w:t>
      </w:r>
      <w:r>
        <w:rPr>
          <w:lang w:val="hr-HR"/>
        </w:rPr>
        <w:t>), članka 32, stavka 2., točke 2. Statuta Općine Negoslavci („Službeni glasnik Općine Negoslavci“ broj 01/21, 7/23 i 9/24), točke VI. Javnog natječaja za sufinanciranje udruga građana koje djeluju na području Općine Negoslavci za 2025. godinu (</w:t>
      </w:r>
      <w:r>
        <w:rPr>
          <w:rFonts w:ascii="Times New Roman" w:hAnsi="Times New Roman"/>
          <w:lang w:val="hr-HR"/>
        </w:rPr>
        <w:t>KLASA: 007-02/24-01/01, URBROJ: 2196-19-01-24-02, od 17.12.2024. godine</w:t>
      </w:r>
      <w:r>
        <w:rPr>
          <w:lang w:val="hr-HR"/>
        </w:rPr>
        <w:t>) te prijedloga Povjerenstva za administrativnu i procjenjivačku provjeru ispunjavanja propisanih uvjeta natječaja za udruge (KLASA: 007-02/24-01/01, URBROJ: 2196-19-03-02-24-03, 28.01.2025. godine), Općinski načelnik Općine Negoslavci dana 29.01.2025. godine donosi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O  D  L  U  K  U</w:t>
      </w:r>
    </w:p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o sufinanciranju udruga građana koje djeluju na području Općine Negoslavci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1.</w:t>
      </w:r>
    </w:p>
    <w:p>
      <w:pPr>
        <w:pStyle w:val="Normal"/>
        <w:bidi w:val="0"/>
        <w:jc w:val="both"/>
        <w:rPr/>
      </w:pPr>
      <w:r>
        <w:rPr>
          <w:lang w:val="hr-HR"/>
        </w:rPr>
        <w:tab/>
        <w:t>Ovom Odlukom utvrđuje se visina odobrenih financijskih sredstava udrugama koje imaju sjedište ili svoje aktivnosti provode na području Općine Negoslavci, čija sredstva su za 2025. godinu osigurana u proračunu Općine Negoslavci.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2.</w:t>
      </w:r>
    </w:p>
    <w:p>
      <w:pPr>
        <w:pStyle w:val="Normal"/>
        <w:bidi w:val="0"/>
        <w:jc w:val="both"/>
        <w:rPr>
          <w:rFonts w:eastAsia="Calibri"/>
          <w:kern w:val="0"/>
          <w:szCs w:val="22"/>
        </w:rPr>
      </w:pPr>
      <w:r>
        <w:rPr>
          <w:lang w:val="hr-HR"/>
        </w:rPr>
        <w:tab/>
        <w:t>Utvrđuje se da se prihvaća prijedlog Povjerenstva za administrativnu i procjenjivačku provjeru ispunjavanja propisanih uvjeta natječaja za udruge, definiran na sjednici Povjerenstva, održanoj dana 28.01.2024. godine kojim se utvrđuje visina financijskih sredstava za Programe i projekte udruga koje su podnijele prijavu na Javni natječaj za sufinanciranje udruga građana koje djeluju na području Općine Negoslavci</w:t>
      </w:r>
      <w:r>
        <w:rPr/>
        <w:t>,</w:t>
      </w:r>
      <w:r>
        <w:rPr>
          <w:lang w:val="hr-HR"/>
        </w:rPr>
        <w:t xml:space="preserve"> objavljen na internet stranici Općine Negoslavci dana 17</w:t>
      </w:r>
      <w:r>
        <w:rPr/>
        <w:t>.12.2024</w:t>
      </w:r>
      <w:r>
        <w:rPr>
          <w:lang w:val="hr-HR"/>
        </w:rPr>
        <w:t>.</w:t>
      </w:r>
      <w:r>
        <w:rPr/>
        <w:t xml:space="preserve"> </w:t>
      </w:r>
      <w:r>
        <w:rPr>
          <w:lang w:val="hr-HR"/>
        </w:rPr>
        <w:t>godine i internet stranici Ureda za udruge.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Članak 3.</w:t>
      </w:r>
    </w:p>
    <w:p>
      <w:pPr>
        <w:pStyle w:val="Normal"/>
        <w:bidi w:val="0"/>
        <w:jc w:val="both"/>
        <w:rPr>
          <w:lang w:val="hr-HR"/>
        </w:rPr>
      </w:pPr>
      <w:r>
        <w:rPr>
          <w:lang w:val="hr-HR"/>
        </w:rPr>
        <w:tab/>
        <w:t>Financijska sredstva za sufinanciranje udruga za prijavljene Programe u sportu dodjeljuju se kako slijedi:</w:t>
      </w:r>
    </w:p>
    <w:p>
      <w:pPr>
        <w:pStyle w:val="Tijeloteksta"/>
        <w:numPr>
          <w:ilvl w:val="0"/>
          <w:numId w:val="2"/>
        </w:numPr>
        <w:bidi w:val="0"/>
        <w:spacing w:before="0" w:after="0"/>
        <w:jc w:val="both"/>
        <w:rPr>
          <w:rFonts w:eastAsia="Times New Roman"/>
          <w:kern w:val="0"/>
          <w:lang w:val="hr-HR" w:eastAsia="zh-CN"/>
        </w:rPr>
      </w:pPr>
      <w:r>
        <w:rPr>
          <w:rFonts w:eastAsia="Times New Roman"/>
          <w:color w:val="000000"/>
          <w:kern w:val="0"/>
          <w:lang w:val="hr-HR" w:eastAsia="zh-CN"/>
        </w:rPr>
        <w:t>Nogometni klub Negoslavci: 60.000,00 EUR,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color w:val="000000"/>
        </w:rPr>
      </w:pPr>
      <w:r>
        <w:rPr>
          <w:rFonts w:eastAsia="Times New Roman"/>
          <w:color w:val="000000"/>
          <w:kern w:val="0"/>
          <w:lang w:val="hr-HR" w:eastAsia="zh-CN"/>
        </w:rPr>
        <w:t>Škola nogometa Negis: 13.000,00 EUR,</w:t>
      </w:r>
    </w:p>
    <w:p>
      <w:pPr>
        <w:pStyle w:val="Tijeloteksta"/>
        <w:numPr>
          <w:ilvl w:val="0"/>
          <w:numId w:val="2"/>
        </w:numPr>
        <w:bidi w:val="0"/>
        <w:spacing w:before="0" w:after="0"/>
        <w:jc w:val="both"/>
        <w:rPr>
          <w:color w:val="000000"/>
        </w:rPr>
      </w:pPr>
      <w:r>
        <w:rPr>
          <w:rFonts w:eastAsia="Times New Roman"/>
          <w:color w:val="000000"/>
          <w:kern w:val="0"/>
          <w:lang w:val="hr-HR" w:eastAsia="zh-CN"/>
        </w:rPr>
        <w:t>Šahovski klub Negoslavci: 2.400,00 EUR.</w:t>
      </w:r>
    </w:p>
    <w:p>
      <w:pPr>
        <w:pStyle w:val="Normal"/>
        <w:bidi w:val="0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Članak 4.</w:t>
      </w:r>
    </w:p>
    <w:p>
      <w:pPr>
        <w:pStyle w:val="Normal"/>
        <w:bidi w:val="0"/>
        <w:jc w:val="left"/>
        <w:rPr/>
      </w:pPr>
      <w:r>
        <w:rPr>
          <w:lang w:val="hr-HR"/>
        </w:rPr>
        <w:tab/>
        <w:t>Financijska sredstva za sufinanciranje udruga za prijavljene Programe u kulturi dodjeljuju se kako slijedi:</w:t>
      </w:r>
      <w:r>
        <w:rPr/>
        <w:tab/>
        <w:tab/>
      </w:r>
    </w:p>
    <w:p>
      <w:pPr>
        <w:pStyle w:val="Normal"/>
        <w:numPr>
          <w:ilvl w:val="0"/>
          <w:numId w:val="3"/>
        </w:numPr>
        <w:bidi w:val="0"/>
        <w:jc w:val="both"/>
        <w:rPr>
          <w:lang w:val="hr-HR"/>
        </w:rPr>
      </w:pPr>
      <w:r>
        <w:rPr>
          <w:lang w:val="hr-HR"/>
        </w:rPr>
        <w:t>SKD Prosvjeta, pododbor Negoslav</w:t>
      </w:r>
      <w:r>
        <w:rPr>
          <w:color w:val="000000"/>
          <w:lang w:val="hr-HR"/>
        </w:rPr>
        <w:t>ci: 4.000,00 EUR.</w:t>
      </w:r>
    </w:p>
    <w:p>
      <w:pPr>
        <w:pStyle w:val="Normal"/>
        <w:bidi w:val="0"/>
        <w:ind w:left="720" w:hanging="0"/>
        <w:jc w:val="left"/>
        <w:rPr>
          <w:lang w:val="hr-HR"/>
        </w:rPr>
      </w:pPr>
      <w:r>
        <w:rPr>
          <w:lang w:val="hr-HR"/>
        </w:rPr>
        <w:tab/>
        <w:t xml:space="preserve"> </w:t>
      </w:r>
    </w:p>
    <w:p>
      <w:pPr>
        <w:pStyle w:val="Normal"/>
        <w:bidi w:val="0"/>
        <w:ind w:left="720" w:hanging="0"/>
        <w:jc w:val="left"/>
        <w:rPr>
          <w:lang w:val="hr-HR"/>
        </w:rPr>
      </w:pPr>
      <w:r>
        <w:rPr>
          <w:lang w:val="hr-HR"/>
        </w:rPr>
      </w:r>
    </w:p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Članak 5.</w:t>
      </w:r>
    </w:p>
    <w:p>
      <w:pPr>
        <w:pStyle w:val="Normal"/>
        <w:bidi w:val="0"/>
        <w:jc w:val="left"/>
        <w:rPr>
          <w:lang w:val="hr-HR"/>
        </w:rPr>
      </w:pPr>
      <w:r>
        <w:rPr/>
        <w:tab/>
      </w:r>
      <w:r>
        <w:rPr>
          <w:lang w:val="hr-HR"/>
        </w:rPr>
        <w:t>Financijska sredstva za sufinanciranje udruga za prijavljene Programe u području ostalih općedruštvenih djelatnosti, dodjeljuju se kako slijedi:</w:t>
      </w:r>
    </w:p>
    <w:p>
      <w:pPr>
        <w:pStyle w:val="Normal"/>
        <w:widowControl/>
        <w:numPr>
          <w:ilvl w:val="0"/>
          <w:numId w:val="4"/>
        </w:numPr>
        <w:bidi w:val="0"/>
        <w:jc w:val="both"/>
        <w:rPr>
          <w:rFonts w:eastAsia="Times New Roman"/>
          <w:kern w:val="0"/>
          <w:lang w:val="hr-HR" w:eastAsia="zh-CN"/>
        </w:rPr>
      </w:pPr>
      <w:r>
        <w:rPr>
          <w:rFonts w:eastAsia="Times New Roman"/>
          <w:color w:val="000000"/>
          <w:kern w:val="0"/>
          <w:lang w:val="hr-HR" w:eastAsia="zh-CN"/>
        </w:rPr>
        <w:t>Projekt centar Negoslavci: 15.000,00 EUR,</w:t>
      </w:r>
    </w:p>
    <w:p>
      <w:pPr>
        <w:pStyle w:val="Normal"/>
        <w:widowControl/>
        <w:numPr>
          <w:ilvl w:val="0"/>
          <w:numId w:val="4"/>
        </w:numPr>
        <w:bidi w:val="0"/>
        <w:jc w:val="both"/>
        <w:rPr>
          <w:rFonts w:eastAsia="Times New Roman"/>
          <w:kern w:val="0"/>
          <w:lang w:val="hr-HR" w:eastAsia="zh-CN"/>
        </w:rPr>
      </w:pPr>
      <w:r>
        <w:rPr>
          <w:rFonts w:eastAsia="Times New Roman"/>
          <w:color w:val="000000"/>
          <w:kern w:val="0"/>
          <w:lang w:val="hr-HR" w:eastAsia="zh-CN"/>
        </w:rPr>
        <w:t>Udruga žena Negoslavčanke: 6.000,00 EUR,</w:t>
      </w:r>
    </w:p>
    <w:p>
      <w:pPr>
        <w:pStyle w:val="Normal"/>
        <w:widowControl/>
        <w:numPr>
          <w:ilvl w:val="0"/>
          <w:numId w:val="4"/>
        </w:numPr>
        <w:bidi w:val="0"/>
        <w:jc w:val="both"/>
        <w:rPr>
          <w:rFonts w:eastAsia="Times New Roman"/>
          <w:kern w:val="0"/>
          <w:lang w:val="hr-HR" w:eastAsia="zh-CN"/>
        </w:rPr>
      </w:pPr>
      <w:r>
        <w:rPr>
          <w:rFonts w:eastAsia="Times New Roman"/>
          <w:color w:val="000000"/>
          <w:kern w:val="0"/>
          <w:lang w:val="hr-HR" w:eastAsia="zh-CN"/>
        </w:rPr>
        <w:t>Udruga umirovljenika Sremac Negoslavci: 2.000,00 EUR,</w:t>
      </w:r>
    </w:p>
    <w:p>
      <w:pPr>
        <w:pStyle w:val="Normal"/>
        <w:widowControl/>
        <w:numPr>
          <w:ilvl w:val="0"/>
          <w:numId w:val="4"/>
        </w:numPr>
        <w:bidi w:val="0"/>
        <w:jc w:val="both"/>
        <w:rPr>
          <w:rFonts w:eastAsia="Times New Roman"/>
          <w:kern w:val="0"/>
          <w:lang w:val="hr-HR" w:eastAsia="zh-CN"/>
        </w:rPr>
      </w:pPr>
      <w:r>
        <w:rPr>
          <w:rFonts w:eastAsia="Times New Roman"/>
          <w:kern w:val="0"/>
          <w:lang w:val="hr-HR" w:eastAsia="zh-CN"/>
        </w:rPr>
        <w:t xml:space="preserve">ŠRU Dobra voda Negoslavci: </w:t>
      </w:r>
      <w:r>
        <w:rPr>
          <w:rFonts w:eastAsia="Times New Roman"/>
          <w:color w:val="000000"/>
          <w:kern w:val="0"/>
          <w:lang w:val="hr-HR" w:eastAsia="zh-CN"/>
        </w:rPr>
        <w:t>1.500,00 EUR,</w:t>
      </w:r>
    </w:p>
    <w:p>
      <w:pPr>
        <w:pStyle w:val="Normal"/>
        <w:widowControl/>
        <w:numPr>
          <w:ilvl w:val="0"/>
          <w:numId w:val="4"/>
        </w:numPr>
        <w:bidi w:val="0"/>
        <w:jc w:val="both"/>
        <w:rPr>
          <w:rFonts w:eastAsia="Times New Roman"/>
          <w:kern w:val="0"/>
          <w:lang w:val="hr-HR" w:eastAsia="zh-CN"/>
        </w:rPr>
      </w:pPr>
      <w:r>
        <w:rPr>
          <w:rFonts w:eastAsia="Times New Roman"/>
          <w:kern w:val="0"/>
          <w:lang w:val="hr-HR" w:eastAsia="zh-CN"/>
        </w:rPr>
        <w:t>Lovačko društvo Fazan Negoslavci: 1.500,00 EUR.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6.</w:t>
      </w:r>
    </w:p>
    <w:p>
      <w:pPr>
        <w:pStyle w:val="Normal"/>
        <w:bidi w:val="0"/>
        <w:jc w:val="both"/>
        <w:rPr/>
      </w:pPr>
      <w:r>
        <w:rPr>
          <w:lang w:val="hr-HR"/>
        </w:rPr>
        <w:tab/>
        <w:t>Međusobni odnosi Općine Negoslavci kao davatelja financijskih sredstava i udruga kao korisnika, regulirat će se Ugovorom o dodjeli financijskih sredstava koji će biti zaključen u roku od 30 dana od dana stupanja na snagu ove Odluke.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7.</w:t>
      </w:r>
    </w:p>
    <w:p>
      <w:pPr>
        <w:pStyle w:val="Normal"/>
        <w:bidi w:val="0"/>
        <w:jc w:val="both"/>
        <w:rPr/>
      </w:pPr>
      <w:r>
        <w:rPr>
          <w:lang w:val="hr-HR"/>
        </w:rPr>
        <w:tab/>
        <w:t>Za realizaciju odredaba ove Odluke zadužuje se Jedinstveni upravni odjel Općine Negoslavci.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8.</w:t>
      </w:r>
      <w:bookmarkStart w:id="0" w:name="_GoBack"/>
      <w:bookmarkEnd w:id="0"/>
    </w:p>
    <w:p>
      <w:pPr>
        <w:pStyle w:val="Normal"/>
        <w:bidi w:val="0"/>
        <w:jc w:val="both"/>
        <w:rPr>
          <w:color w:val="000000" w:themeColor="text1"/>
        </w:rPr>
      </w:pPr>
      <w:r>
        <w:rPr>
          <w:lang w:val="hr-HR"/>
        </w:rPr>
        <w:tab/>
      </w:r>
      <w:r>
        <w:rPr>
          <w:color w:val="000000" w:themeColor="text1"/>
          <w:lang w:val="hr-HR"/>
        </w:rPr>
        <w:t>Odluka stupa na dan nakon dana donošenja i objavit će se u Službenom glasniku Općine Negoslavci.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lang w:val="hr-HR"/>
        </w:rPr>
      </w:pPr>
      <w:r>
        <w:rPr>
          <w:lang w:val="hr-HR"/>
        </w:rPr>
        <w:tab/>
        <w:tab/>
        <w:tab/>
        <w:tab/>
        <w:tab/>
        <w:tab/>
        <w:tab/>
        <w:t xml:space="preserve">       </w:t>
      </w:r>
      <w:r>
        <w:rPr>
          <w:b/>
          <w:lang w:val="hr-HR"/>
        </w:rPr>
        <w:t>OPĆINSKI NAČELNIK:</w:t>
      </w:r>
    </w:p>
    <w:p>
      <w:pPr>
        <w:pStyle w:val="Normal"/>
        <w:bidi w:val="0"/>
        <w:jc w:val="left"/>
        <w:rPr/>
      </w:pPr>
      <w:r>
        <w:rPr>
          <w:lang w:val="hr-HR"/>
        </w:rPr>
        <w:tab/>
        <w:tab/>
        <w:tab/>
        <w:tab/>
        <w:tab/>
        <w:tab/>
        <w:tab/>
        <w:tab/>
        <w:t xml:space="preserve">          Dušan Jeckov</w:t>
      </w:r>
    </w:p>
    <w:p>
      <w:pPr>
        <w:pStyle w:val="Normal"/>
        <w:bidi w:val="0"/>
        <w:ind w:firstLine="708"/>
        <w:jc w:val="both"/>
        <w:rPr/>
      </w:pPr>
      <w:r>
        <w:rPr/>
      </w:r>
    </w:p>
    <w:p>
      <w:pPr>
        <w:pStyle w:val="Normal"/>
        <w:bidi w:val="0"/>
        <w:ind w:firstLine="708"/>
        <w:jc w:val="both"/>
        <w:rPr/>
      </w:pPr>
      <w:r>
        <w:rPr/>
        <w:tab/>
        <w:tab/>
        <w:tab/>
        <w:tab/>
        <w:tab/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eastAsia="Andale Sans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LibreOffice/7.4.1.2$Windows_X86_64 LibreOffice_project/3c58a8f3a960df8bc8fd77b461821e42c061c5f0</Application>
  <AppVersion>15.0000</AppVersion>
  <Pages>2</Pages>
  <Words>418</Words>
  <Characters>2699</Characters>
  <CharactersWithSpaces>3128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2024-01-30T14:48:53Z</dcterms:created>
  <dc:creator/>
  <dc:description/>
  <dc:language>hr-HR</dc:language>
  <cp:lastModifiedBy/>
  <cp:lastPrinted>2024-01-31T14:45:35Z</cp:lastPrinted>
  <dcterms:modified xsi:type="dcterms:W3CDTF">2025-02-06T15:33:36Z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