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26" w:leader="none"/>
        </w:tabs>
        <w:spacing w:before="12" w:after="0"/>
        <w:ind w:left="-567" w:right="1" w:hanging="0"/>
        <w:jc w:val="both"/>
        <w:rPr>
          <w:color w:val="000000"/>
        </w:rPr>
      </w:pPr>
      <w:r>
        <w:rPr>
          <w:color w:val="000000"/>
        </w:rPr>
        <w:t xml:space="preserve">Osim Općeg i posebnog dijela, sastavni dio godišnjeg izvještaja o izvršenju proračuna Općine Negoslavci za 2024. su: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" w:after="0"/>
        <w:ind w:left="-567" w:right="1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widowControl w:val="false"/>
        <w:numPr>
          <w:ilvl w:val="0"/>
          <w:numId w:val="28"/>
        </w:numPr>
        <w:tabs>
          <w:tab w:val="clear" w:pos="708"/>
          <w:tab w:val="left" w:pos="426" w:leader="none"/>
        </w:tabs>
        <w:spacing w:before="12" w:after="0"/>
        <w:ind w:left="-142" w:right="1" w:hanging="360"/>
        <w:contextualSpacing/>
        <w:jc w:val="both"/>
        <w:rPr>
          <w:rFonts w:ascii="Calibri" w:hAnsi="Calibri" w:asciiTheme="minorHAnsi" w:hAnsiTheme="minorHAnsi"/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</w:rPr>
        <w:t>OBRAZLOŽENJE GODIŠNJEG IZVJEŠTAJA O IZVRŠENJU PRORAČUNA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-142" w:right="1" w:hanging="0"/>
        <w:contextualSpacing/>
        <w:jc w:val="both"/>
        <w:rPr>
          <w:rFonts w:ascii="Calibri" w:hAnsi="Calibri" w:asciiTheme="minorHAnsi" w:hAnsiTheme="minorHAnsi"/>
          <w:color w:val="000000"/>
          <w:sz w:val="22"/>
          <w:szCs w:val="22"/>
        </w:rPr>
      </w:pPr>
      <w:r>
        <w:rPr>
          <w:color w:val="000000"/>
        </w:rPr>
        <w:t xml:space="preserve">Obrazloženje godišnjeg izvještaja o izvršenju proračuna se sastoji od: </w:t>
      </w:r>
    </w:p>
    <w:p>
      <w:pPr>
        <w:pStyle w:val="ListParagraph"/>
        <w:widowControl w:val="false"/>
        <w:numPr>
          <w:ilvl w:val="0"/>
          <w:numId w:val="29"/>
        </w:numPr>
        <w:spacing w:lineRule="auto" w:line="276" w:before="12" w:after="200"/>
        <w:ind w:left="142" w:right="1" w:hanging="284"/>
        <w:contextualSpacing/>
        <w:jc w:val="both"/>
        <w:rPr>
          <w:color w:val="000000"/>
        </w:rPr>
      </w:pPr>
      <w:r>
        <w:rPr>
          <w:color w:val="000000"/>
        </w:rPr>
        <w:t>Obrazloženja Općeg dijela izvještaja o izvršenju proračuna koji sadrži:</w:t>
      </w:r>
    </w:p>
    <w:p>
      <w:pPr>
        <w:pStyle w:val="ListParagraph"/>
        <w:widowControl w:val="false"/>
        <w:numPr>
          <w:ilvl w:val="0"/>
          <w:numId w:val="16"/>
        </w:numPr>
        <w:tabs>
          <w:tab w:val="clear" w:pos="708"/>
          <w:tab w:val="left" w:pos="426" w:leader="none"/>
        </w:tabs>
        <w:spacing w:before="12" w:after="0"/>
        <w:ind w:left="720" w:right="393" w:hanging="360"/>
        <w:contextualSpacing/>
        <w:jc w:val="both"/>
        <w:rPr>
          <w:color w:val="000000"/>
        </w:rPr>
      </w:pPr>
      <w:r>
        <w:rPr>
          <w:color w:val="000000"/>
        </w:rPr>
        <w:t>Obrazloženje ostvarenih prihoda i rashoda, primitaka i izdataka</w:t>
      </w:r>
    </w:p>
    <w:p>
      <w:pPr>
        <w:pStyle w:val="ListParagraph"/>
        <w:widowControl w:val="false"/>
        <w:numPr>
          <w:ilvl w:val="0"/>
          <w:numId w:val="16"/>
        </w:numPr>
        <w:tabs>
          <w:tab w:val="clear" w:pos="708"/>
          <w:tab w:val="left" w:pos="426" w:leader="none"/>
        </w:tabs>
        <w:spacing w:before="12" w:after="0"/>
        <w:ind w:left="720" w:right="393" w:hanging="360"/>
        <w:contextualSpacing/>
        <w:jc w:val="both"/>
        <w:rPr>
          <w:color w:val="000000"/>
        </w:rPr>
      </w:pPr>
      <w:r>
        <w:rPr>
          <w:color w:val="000000"/>
        </w:rPr>
        <w:t xml:space="preserve">Prikaz manjka, odnosno viška proračuna </w:t>
      </w:r>
    </w:p>
    <w:p>
      <w:pPr>
        <w:pStyle w:val="ListParagraph"/>
        <w:widowControl w:val="false"/>
        <w:numPr>
          <w:ilvl w:val="0"/>
          <w:numId w:val="16"/>
        </w:numPr>
        <w:tabs>
          <w:tab w:val="clear" w:pos="708"/>
          <w:tab w:val="left" w:pos="426" w:leader="none"/>
        </w:tabs>
        <w:spacing w:before="12" w:after="0"/>
        <w:ind w:left="720" w:right="393" w:hanging="360"/>
        <w:contextualSpacing/>
        <w:jc w:val="both"/>
        <w:rPr>
          <w:color w:val="000000"/>
        </w:rPr>
      </w:pPr>
      <w:r>
        <w:rPr>
          <w:color w:val="000000"/>
        </w:rPr>
        <w:t>Stanje novčanih sredstava na računu proračuna i proračunskih korisnika 01.01.2024.  i 31.12.2024. godine</w:t>
      </w:r>
    </w:p>
    <w:p>
      <w:pPr>
        <w:pStyle w:val="ListParagraph"/>
        <w:widowControl w:val="false"/>
        <w:numPr>
          <w:ilvl w:val="0"/>
          <w:numId w:val="16"/>
        </w:numPr>
        <w:tabs>
          <w:tab w:val="clear" w:pos="708"/>
          <w:tab w:val="left" w:pos="426" w:leader="none"/>
        </w:tabs>
        <w:spacing w:before="12" w:after="0"/>
        <w:ind w:left="720" w:right="393" w:hanging="360"/>
        <w:contextualSpacing/>
        <w:jc w:val="both"/>
        <w:rPr>
          <w:color w:val="000000"/>
        </w:rPr>
      </w:pPr>
      <w:r>
        <w:rPr>
          <w:color w:val="000000"/>
        </w:rPr>
        <w:t>Prihodi i primici/ rashodi i izdaci ostvareni preuzimanjem nefinancijske imovine i financijske imovine u naplati potraživanja javnih davanja</w:t>
      </w:r>
    </w:p>
    <w:p>
      <w:pPr>
        <w:pStyle w:val="ListParagraph"/>
        <w:widowControl w:val="false"/>
        <w:numPr>
          <w:ilvl w:val="0"/>
          <w:numId w:val="30"/>
        </w:numPr>
        <w:spacing w:lineRule="auto" w:line="276" w:before="12" w:after="200"/>
        <w:ind w:left="142" w:right="1" w:hanging="284"/>
        <w:contextualSpacing/>
        <w:jc w:val="both"/>
        <w:rPr>
          <w:color w:val="000000"/>
        </w:rPr>
      </w:pPr>
      <w:r>
        <w:rPr>
          <w:color w:val="000000"/>
        </w:rPr>
        <w:t>Obrazloženja Posebnog dijela izvještaja o izvršenju proračuna koji sadrži: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12" w:after="200"/>
        <w:ind w:left="142" w:right="1" w:hanging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widowControl w:val="false"/>
        <w:numPr>
          <w:ilvl w:val="0"/>
          <w:numId w:val="31"/>
        </w:numPr>
        <w:tabs>
          <w:tab w:val="clear" w:pos="708"/>
          <w:tab w:val="left" w:pos="426" w:leader="none"/>
        </w:tabs>
        <w:spacing w:before="12" w:after="0"/>
        <w:ind w:left="-142" w:right="1" w:hanging="360"/>
        <w:contextualSpacing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POSEBNI IZVJEŠTAJI U GODIŠNJEM IZVJEŠTAJU O IZVRŠENJU PRORAČUNA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-142" w:right="1" w:hanging="0"/>
        <w:contextualSpacing/>
        <w:jc w:val="both"/>
        <w:rPr>
          <w:color w:val="000000"/>
        </w:rPr>
      </w:pPr>
      <w:r>
        <w:rPr>
          <w:color w:val="000000"/>
        </w:rPr>
        <w:t>Posebni izvještaji sadrže:</w:t>
      </w:r>
    </w:p>
    <w:p>
      <w:pPr>
        <w:pStyle w:val="ListParagraph"/>
        <w:widowControl w:val="false"/>
        <w:numPr>
          <w:ilvl w:val="0"/>
          <w:numId w:val="32"/>
        </w:numPr>
        <w:spacing w:before="12" w:after="0"/>
        <w:ind w:left="142" w:right="393" w:hanging="284"/>
        <w:contextualSpacing/>
        <w:jc w:val="both"/>
        <w:rPr>
          <w:color w:val="000000"/>
        </w:rPr>
      </w:pPr>
      <w:r>
        <w:rPr>
          <w:color w:val="000000"/>
        </w:rPr>
        <w:t>Izvještaj o korištenju proračunske zalihe</w:t>
      </w:r>
    </w:p>
    <w:p>
      <w:pPr>
        <w:pStyle w:val="ListParagraph"/>
        <w:widowControl w:val="false"/>
        <w:numPr>
          <w:ilvl w:val="0"/>
          <w:numId w:val="33"/>
        </w:numPr>
        <w:tabs>
          <w:tab w:val="clear" w:pos="708"/>
          <w:tab w:val="left" w:pos="426" w:leader="none"/>
        </w:tabs>
        <w:spacing w:before="12" w:after="0"/>
        <w:ind w:left="142" w:right="393" w:hanging="284"/>
        <w:contextualSpacing/>
        <w:jc w:val="both"/>
        <w:rPr>
          <w:color w:val="000000"/>
        </w:rPr>
      </w:pPr>
      <w:r>
        <w:rPr>
          <w:color w:val="000000"/>
        </w:rPr>
        <w:t>Izvještaj o zaduživanju na domaćem i stranom tržištu novca i kapitala</w:t>
      </w:r>
    </w:p>
    <w:p>
      <w:pPr>
        <w:pStyle w:val="ListParagraph"/>
        <w:widowControl w:val="false"/>
        <w:numPr>
          <w:ilvl w:val="0"/>
          <w:numId w:val="34"/>
        </w:numPr>
        <w:tabs>
          <w:tab w:val="clear" w:pos="708"/>
          <w:tab w:val="left" w:pos="426" w:leader="none"/>
        </w:tabs>
        <w:spacing w:before="12" w:after="0"/>
        <w:ind w:left="142" w:right="393" w:hanging="284"/>
        <w:contextualSpacing/>
        <w:jc w:val="both"/>
        <w:rPr>
          <w:color w:val="000000"/>
        </w:rPr>
      </w:pPr>
      <w:r>
        <w:rPr>
          <w:color w:val="000000"/>
        </w:rPr>
        <w:t>Izvještaj o danim jamstvima i plaćanjima po protestiranim jamstvima</w:t>
      </w:r>
    </w:p>
    <w:p>
      <w:pPr>
        <w:pStyle w:val="ListParagraph"/>
        <w:widowControl w:val="false"/>
        <w:numPr>
          <w:ilvl w:val="0"/>
          <w:numId w:val="35"/>
        </w:numPr>
        <w:spacing w:before="12" w:after="0"/>
        <w:ind w:left="142" w:right="393" w:hanging="284"/>
        <w:contextualSpacing/>
        <w:jc w:val="both"/>
        <w:rPr>
          <w:color w:val="000000"/>
        </w:rPr>
      </w:pPr>
      <w:r>
        <w:rPr>
          <w:color w:val="000000"/>
        </w:rPr>
        <w:t>Izvještaj o korištenju sredstava EU</w:t>
      </w:r>
    </w:p>
    <w:p>
      <w:pPr>
        <w:pStyle w:val="ListParagraph"/>
        <w:widowControl w:val="false"/>
        <w:numPr>
          <w:ilvl w:val="0"/>
          <w:numId w:val="36"/>
        </w:numPr>
        <w:tabs>
          <w:tab w:val="clear" w:pos="708"/>
          <w:tab w:val="left" w:pos="426" w:leader="none"/>
        </w:tabs>
        <w:spacing w:before="12" w:after="0"/>
        <w:ind w:left="142" w:right="393" w:hanging="284"/>
        <w:contextualSpacing/>
        <w:jc w:val="both"/>
        <w:rPr>
          <w:color w:val="000000"/>
        </w:rPr>
      </w:pPr>
      <w:r>
        <w:rPr>
          <w:color w:val="000000"/>
        </w:rPr>
        <w:t>Izvještaj o danim zajmovima i potraživanjima po danim zajmovima</w:t>
      </w:r>
    </w:p>
    <w:p>
      <w:pPr>
        <w:pStyle w:val="ListParagraph"/>
        <w:widowControl w:val="false"/>
        <w:numPr>
          <w:ilvl w:val="0"/>
          <w:numId w:val="37"/>
        </w:numPr>
        <w:tabs>
          <w:tab w:val="clear" w:pos="708"/>
          <w:tab w:val="left" w:pos="426" w:leader="none"/>
        </w:tabs>
        <w:spacing w:before="12" w:after="0"/>
        <w:ind w:left="142" w:right="393" w:hanging="284"/>
        <w:contextualSpacing/>
        <w:jc w:val="both"/>
        <w:rPr>
          <w:color w:val="000000"/>
        </w:rPr>
      </w:pPr>
      <w:r>
        <w:rPr>
          <w:color w:val="000000"/>
        </w:rPr>
        <w:t>Izvještaj o stanju potraživanja i dospjelih obveza te o stanju potencijalnih obveza po osnovi sudskih sporova</w:t>
      </w:r>
    </w:p>
    <w:p>
      <w:pPr>
        <w:pStyle w:val="ListParagraph"/>
        <w:widowControl w:val="false"/>
        <w:numPr>
          <w:ilvl w:val="0"/>
          <w:numId w:val="38"/>
        </w:numPr>
        <w:tabs>
          <w:tab w:val="clear" w:pos="708"/>
          <w:tab w:val="left" w:pos="426" w:leader="none"/>
        </w:tabs>
        <w:spacing w:before="12" w:after="0"/>
        <w:ind w:left="142" w:right="393" w:hanging="284"/>
        <w:contextualSpacing/>
        <w:jc w:val="both"/>
        <w:rPr>
          <w:color w:val="000000"/>
        </w:rPr>
      </w:pPr>
      <w:r>
        <w:rPr>
          <w:color w:val="000000"/>
        </w:rPr>
        <w:t>Izvještaj o izvršenim preraspodjelama proračunskih sredstava u Proračunu  Općine Negoslavci za 2024. godinu</w:t>
      </w:r>
    </w:p>
    <w:p>
      <w:pPr>
        <w:pStyle w:val="Normal"/>
        <w:widowControl w:val="false"/>
        <w:tabs>
          <w:tab w:val="clear" w:pos="708"/>
          <w:tab w:val="left" w:pos="426" w:leader="none"/>
          <w:tab w:val="center" w:pos="5103" w:leader="none"/>
        </w:tabs>
        <w:spacing w:before="173" w:after="0"/>
        <w:ind w:left="-567" w:right="393" w:hanging="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Članak 3.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" w:after="0"/>
        <w:ind w:left="-567" w:right="1" w:hanging="0"/>
        <w:jc w:val="both"/>
        <w:rPr>
          <w:color w:val="000000"/>
        </w:rPr>
      </w:pPr>
      <w:r>
        <w:rPr>
          <w:color w:val="000000"/>
        </w:rPr>
        <w:t xml:space="preserve">Opći dio i posebni dio Polugodišnjeg izvještaja o izvršenju proračuna objaviti će se u </w:t>
      </w:r>
      <w:r>
        <w:rPr/>
        <w:t>„Službenom vjesniku“ Vukovarsko- srijemske županije.</w:t>
      </w:r>
    </w:p>
    <w:p>
      <w:pPr>
        <w:pStyle w:val="Normal"/>
        <w:spacing w:before="0" w:after="0"/>
        <w:ind w:left="-567" w:hanging="0"/>
        <w:contextualSpacing/>
        <w:rPr>
          <w:b/>
          <w:b/>
        </w:rPr>
      </w:pPr>
      <w:r>
        <w:rPr>
          <w:b/>
        </w:rPr>
      </w:r>
    </w:p>
    <w:p>
      <w:pPr>
        <w:pStyle w:val="Normal"/>
        <w:spacing w:before="0" w:after="120"/>
        <w:ind w:left="-567" w:hanging="0"/>
        <w:jc w:val="both"/>
        <w:rPr/>
      </w:pPr>
      <w:r>
        <w:rPr/>
        <w:t>Godišnji izvještaj o izvršenju Proračuna Općine Negoslavci za 2024. g. u cijelosti će se objaviti na mrežnim stranicama Općine Negoslavci.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" w:after="0"/>
        <w:ind w:left="-142" w:right="1" w:hanging="425"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before="12" w:after="0"/>
        <w:ind w:left="-142" w:right="1" w:hanging="425"/>
        <w:contextualSpacing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OBRAZLOŽENJE GODIŠNJEG IZVJEŠTAJA O IZVRŠENJU PRORAČUNA OPĆINE NEGOSLAVCI ZA 2024. G.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-142" w:right="1" w:hanging="0"/>
        <w:contextualSpacing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ListParagraph"/>
        <w:widowControl w:val="false"/>
        <w:numPr>
          <w:ilvl w:val="0"/>
          <w:numId w:val="10"/>
        </w:numPr>
        <w:spacing w:before="12" w:after="0"/>
        <w:ind w:left="284" w:right="393" w:hanging="426"/>
        <w:contextualSpacing/>
        <w:jc w:val="both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OBRAZLOŽENJE OPĆEG DIJELA IZVJEŠTAJA</w:t>
      </w:r>
    </w:p>
    <w:p>
      <w:pPr>
        <w:pStyle w:val="ListParagraph"/>
        <w:widowControl w:val="false"/>
        <w:numPr>
          <w:ilvl w:val="0"/>
          <w:numId w:val="4"/>
        </w:numPr>
        <w:spacing w:before="12" w:after="0"/>
        <w:ind w:left="142" w:right="393" w:hanging="284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Obrazloženje ostvarenih prihoda i rashoda, primitaka i izdataka</w:t>
      </w:r>
    </w:p>
    <w:p>
      <w:pPr>
        <w:pStyle w:val="ListParagraph"/>
        <w:widowControl w:val="false"/>
        <w:spacing w:before="12" w:after="0"/>
        <w:ind w:left="142" w:right="393" w:hanging="0"/>
        <w:contextualSpacing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142"/>
        <w:jc w:val="both"/>
        <w:rPr>
          <w:b/>
          <w:b/>
          <w:iCs/>
        </w:rPr>
      </w:pPr>
      <w:r>
        <w:rPr>
          <w:b/>
          <w:iCs/>
        </w:rPr>
        <w:t>PRIHODI/ PRIMICI</w:t>
      </w:r>
    </w:p>
    <w:p>
      <w:pPr>
        <w:pStyle w:val="Normal"/>
        <w:ind w:left="142" w:hanging="0"/>
        <w:jc w:val="both"/>
        <w:rPr>
          <w:bCs/>
          <w:iCs/>
        </w:rPr>
      </w:pPr>
      <w:r>
        <w:rPr>
          <w:bCs/>
          <w:iCs/>
        </w:rPr>
        <w:t>Ukupni prihodi i primici u 2024. godini realizirani su u iznosu 1.043.341,16 €. U nastavku  dajemo obrazloženje ostvarenja.</w:t>
      </w:r>
    </w:p>
    <w:p>
      <w:pPr>
        <w:pStyle w:val="Normal"/>
        <w:ind w:left="567" w:hanging="0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ind w:left="567" w:hanging="425"/>
        <w:jc w:val="both"/>
        <w:rPr/>
      </w:pPr>
      <w:r>
        <w:rPr>
          <w:b/>
          <w:bCs/>
        </w:rPr>
        <w:t>Prihodi poslovanja</w:t>
      </w:r>
      <w:r>
        <w:rPr/>
        <w:t xml:space="preserve"> (Razred 6) veći su za 19,16% u odnosu na isto izvještajno razdoblje prošle godine. Realizirani prihodi unutar ovog razreda uključuju slijedeće: </w:t>
      </w:r>
    </w:p>
    <w:p>
      <w:pPr>
        <w:pStyle w:val="Normal"/>
        <w:ind w:left="567" w:hanging="0"/>
        <w:jc w:val="both"/>
        <w:rPr/>
      </w:pPr>
      <w:r>
        <w:rPr/>
      </w:r>
    </w:p>
    <w:p>
      <w:pPr>
        <w:pStyle w:val="Normal"/>
        <w:numPr>
          <w:ilvl w:val="0"/>
          <w:numId w:val="11"/>
        </w:numPr>
        <w:ind w:left="567" w:hanging="283"/>
        <w:jc w:val="both"/>
        <w:rPr/>
      </w:pPr>
      <w:r>
        <w:rPr/>
        <w:t>Prihodi od poreza (skupina 61) manji su 13,64 % u odnosu na isto razdoblje prošle godine, odnosno za 24.469,39 €. Najveće smanjenje ovih prihoda odnosi se na smanjenje poreza na dohodak od nesamostalnog rada (6111).</w:t>
      </w:r>
    </w:p>
    <w:p>
      <w:pPr>
        <w:pStyle w:val="Normal"/>
        <w:ind w:left="567" w:hanging="0"/>
        <w:jc w:val="both"/>
        <w:rPr/>
      </w:pPr>
      <w:r>
        <w:rPr/>
      </w:r>
    </w:p>
    <w:p>
      <w:pPr>
        <w:pStyle w:val="Normal"/>
        <w:numPr>
          <w:ilvl w:val="0"/>
          <w:numId w:val="13"/>
        </w:numPr>
        <w:ind w:left="567" w:hanging="283"/>
        <w:jc w:val="both"/>
        <w:rPr/>
      </w:pPr>
      <w:r>
        <w:rPr/>
        <w:t xml:space="preserve">Pomoći iz inozemstva i od subjekata unutar općeg proračuna (skupina 63) realizirane su u iznosu 667.013,40 €. U odnosu na isto razdoblje prethodne godine veći su za 13,65 %, odnosno za  171.628,31 €. </w:t>
      </w:r>
    </w:p>
    <w:p>
      <w:pPr>
        <w:pStyle w:val="ListParagraph"/>
        <w:ind w:left="567" w:hanging="0"/>
        <w:jc w:val="both"/>
        <w:rPr/>
      </w:pPr>
      <w:r>
        <w:rPr/>
      </w:r>
    </w:p>
    <w:p>
      <w:pPr>
        <w:pStyle w:val="ListParagraph"/>
        <w:numPr>
          <w:ilvl w:val="0"/>
          <w:numId w:val="15"/>
        </w:numPr>
        <w:ind w:left="567" w:hanging="360"/>
        <w:jc w:val="both"/>
        <w:rPr/>
      </w:pPr>
      <w:r>
        <w:rPr/>
        <w:t>U okviru ove skupine realizirani su prihodi od tekućih pomoći proračunu iz drugih proračuna i izvanproračunskim korisnicima (6331) i realizirani su u iznosu 283.366,10 €, a odnose se na  pomoći fiskalnog izravnanja.</w:t>
      </w:r>
    </w:p>
    <w:p>
      <w:pPr>
        <w:pStyle w:val="ListParagraph"/>
        <w:ind w:left="567" w:hanging="0"/>
        <w:jc w:val="both"/>
        <w:rPr/>
      </w:pPr>
      <w:r>
        <w:rPr/>
      </w:r>
    </w:p>
    <w:p>
      <w:pPr>
        <w:pStyle w:val="ListParagraph"/>
        <w:numPr>
          <w:ilvl w:val="0"/>
          <w:numId w:val="14"/>
        </w:numPr>
        <w:ind w:left="567" w:hanging="360"/>
        <w:jc w:val="both"/>
        <w:rPr/>
      </w:pPr>
      <w:r>
        <w:rPr/>
        <w:t>Kapitalne pomoći proračunu iz drugih proračuna i izvanproračunskim korisnicima (6332) realizirane su u iznosu 72.621,71 €. Pojedinačno gledano, unutar ovog odjeljka realizirani su prihodi od kapitalnih pomoći za uređenje centra u općini Negoslavci i izgradnju parkirališta.</w:t>
      </w:r>
      <w:r>
        <w:rPr>
          <w:highlight w:val="yellow"/>
        </w:rPr>
        <w:t xml:space="preserve">  </w:t>
      </w:r>
      <w:r>
        <w:rPr/>
        <w:t>Agencija za plaćanje u poljoprivredi doznačila je iznos 13.935,00 € za predujam za opremanje dječjeg igrališta u Općini Negoslavci. Vukovarsko-srijemska županija doznačila je 15.000,00 € za kapitalna ulaganja u općini.</w:t>
      </w:r>
    </w:p>
    <w:p>
      <w:pPr>
        <w:pStyle w:val="ListParagraph"/>
        <w:ind w:left="567" w:hanging="0"/>
        <w:jc w:val="both"/>
        <w:rPr/>
      </w:pPr>
      <w:r>
        <w:rPr/>
      </w:r>
    </w:p>
    <w:p>
      <w:pPr>
        <w:pStyle w:val="ListParagraph"/>
        <w:numPr>
          <w:ilvl w:val="0"/>
          <w:numId w:val="14"/>
        </w:numPr>
        <w:ind w:left="567" w:hanging="360"/>
        <w:jc w:val="both"/>
        <w:rPr/>
      </w:pPr>
      <w:r>
        <w:rPr/>
        <w:t>Pomoći od izvanproračunskih korisnika (634)</w:t>
      </w:r>
    </w:p>
    <w:p>
      <w:pPr>
        <w:pStyle w:val="ListParagraph"/>
        <w:ind w:left="567" w:hanging="0"/>
        <w:jc w:val="both"/>
        <w:rPr/>
      </w:pPr>
      <w:r>
        <w:rPr/>
        <w:t xml:space="preserve">Iznos od 11.983,20 € doznačen je od HZZO-a na ime  sufinanciranja plaća javnih radova za dva djelatnika na rok od 6 mjeseci. </w:t>
      </w:r>
    </w:p>
    <w:p>
      <w:pPr>
        <w:pStyle w:val="ListParagraph"/>
        <w:ind w:left="567" w:hanging="0"/>
        <w:jc w:val="both"/>
        <w:rPr/>
      </w:pPr>
      <w:r>
        <w:rPr/>
      </w:r>
    </w:p>
    <w:p>
      <w:pPr>
        <w:pStyle w:val="ListParagraph"/>
        <w:numPr>
          <w:ilvl w:val="0"/>
          <w:numId w:val="14"/>
        </w:numPr>
        <w:ind w:left="567" w:hanging="360"/>
        <w:jc w:val="both"/>
        <w:rPr/>
      </w:pPr>
      <w:r>
        <w:rPr/>
        <w:t>Pomoći temeljem prijenosa EU sredstava</w:t>
      </w:r>
    </w:p>
    <w:p>
      <w:pPr>
        <w:pStyle w:val="ListParagraph"/>
        <w:ind w:left="567" w:hanging="0"/>
        <w:jc w:val="both"/>
        <w:rPr/>
      </w:pPr>
      <w:r>
        <w:rPr/>
        <w:t>Ovi prihodi realizirani su u iznosu 299.042,39 € i odnose se na Projekt Zaželi.</w:t>
      </w:r>
    </w:p>
    <w:p>
      <w:pPr>
        <w:pStyle w:val="ListParagraph"/>
        <w:ind w:left="567" w:hanging="0"/>
        <w:jc w:val="both"/>
        <w:rPr/>
      </w:pPr>
      <w:r>
        <w:rPr/>
      </w:r>
    </w:p>
    <w:p>
      <w:pPr>
        <w:pStyle w:val="Normal"/>
        <w:ind w:left="567" w:hanging="425"/>
        <w:jc w:val="both"/>
        <w:rPr/>
      </w:pPr>
      <w:r>
        <w:rPr/>
        <w:tab/>
      </w:r>
    </w:p>
    <w:p>
      <w:pPr>
        <w:pStyle w:val="Normal"/>
        <w:numPr>
          <w:ilvl w:val="0"/>
          <w:numId w:val="9"/>
        </w:numPr>
        <w:ind w:left="567" w:hanging="425"/>
        <w:jc w:val="both"/>
        <w:rPr/>
      </w:pPr>
      <w:r>
        <w:rPr/>
        <w:t xml:space="preserve">Prihodi od imovine (skupina 64) realizirani su u iznosu 1.475,31 € i manji su za 75 %  u odnosu na isto razdoblje prethodne godine. </w:t>
      </w:r>
    </w:p>
    <w:p>
      <w:pPr>
        <w:pStyle w:val="Normal"/>
        <w:ind w:left="567" w:hanging="0"/>
        <w:jc w:val="both"/>
        <w:rPr/>
      </w:pPr>
      <w:r>
        <w:rPr/>
      </w:r>
    </w:p>
    <w:p>
      <w:pPr>
        <w:pStyle w:val="Normal"/>
        <w:ind w:left="567" w:hanging="0"/>
        <w:jc w:val="both"/>
        <w:rPr/>
      </w:pPr>
      <w:r>
        <w:rPr/>
        <w:t xml:space="preserve">Ovi prihodi odnose se na prihode od zakupa državnog poljoprivrednog zemljišta, prihode od koncesija, prihode od zakupa općinske imovine, prihode od javnih površina i sl. </w:t>
      </w:r>
    </w:p>
    <w:p>
      <w:pPr>
        <w:pStyle w:val="Normal"/>
        <w:ind w:left="567" w:hanging="0"/>
        <w:jc w:val="both"/>
        <w:rPr/>
      </w:pPr>
      <w:r>
        <w:rPr/>
      </w:r>
    </w:p>
    <w:p>
      <w:pPr>
        <w:pStyle w:val="Normal"/>
        <w:numPr>
          <w:ilvl w:val="0"/>
          <w:numId w:val="9"/>
        </w:numPr>
        <w:ind w:left="567" w:hanging="425"/>
        <w:jc w:val="both"/>
        <w:rPr/>
      </w:pPr>
      <w:r>
        <w:rPr/>
        <w:t xml:space="preserve">Prihodi od upravnih i administrativnih pristojbi, naknada, pristojbi po posebnim propisima (skupina 65) realizirani su u iznosu 19.939,28 €.  </w:t>
      </w:r>
    </w:p>
    <w:p>
      <w:pPr>
        <w:pStyle w:val="Normal"/>
        <w:ind w:left="567" w:hanging="0"/>
        <w:jc w:val="both"/>
        <w:rPr/>
      </w:pPr>
      <w:r>
        <w:rPr/>
      </w:r>
    </w:p>
    <w:p>
      <w:pPr>
        <w:pStyle w:val="Normal"/>
        <w:ind w:left="567" w:hanging="0"/>
        <w:jc w:val="both"/>
        <w:rPr/>
      </w:pPr>
      <w:r>
        <w:rPr/>
        <w:t>U okviru ove skupine, u nadležnom proračunu najveći udio prihoda su prihodi od  komunalne naknade koji su ostvareni u iznosu od 15.147,68 €. Uz navedeno, na skupini ostalih prihoda evidentirani su prihodi od naplate štete od osiguravajućih kuća za štete uzrokovane prirodnom nepogodom u 2024. godine u iznosu 1.271,60€, te ostale naknade koje se odnose na kupovinu grobnog mjesta i dr. u iznosu 1.030,00 €, te grobne naknade u iznosu 2.490,00 €.</w:t>
      </w:r>
    </w:p>
    <w:p>
      <w:pPr>
        <w:pStyle w:val="Normal"/>
        <w:ind w:left="567" w:hanging="0"/>
        <w:jc w:val="both"/>
        <w:rPr/>
      </w:pPr>
      <w:r>
        <w:rPr/>
        <w:t xml:space="preserve"> </w:t>
      </w:r>
    </w:p>
    <w:p>
      <w:pPr>
        <w:pStyle w:val="ListParagraph"/>
        <w:ind w:left="567" w:hanging="0"/>
        <w:jc w:val="both"/>
        <w:rPr/>
      </w:pPr>
      <w:r>
        <w:rPr/>
        <w:t>Prihodi od prodaje proizvoda i robe te pruženih usluga i prihodi od donacija ostvareni su u iznosu od 200.000,00 € koji se odnose na donacije Zajedničkog vijeća općina općini Negoslavci namijenjena za investicijsko uređenje Etno kuće.</w:t>
      </w:r>
    </w:p>
    <w:p>
      <w:pPr>
        <w:pStyle w:val="Normal"/>
        <w:ind w:left="709" w:hanging="0"/>
        <w:jc w:val="both"/>
        <w:rPr/>
      </w:pPr>
      <w:r>
        <w:rPr/>
      </w:r>
    </w:p>
    <w:p>
      <w:pPr>
        <w:pStyle w:val="Normal"/>
        <w:ind w:firstLine="142"/>
        <w:jc w:val="both"/>
        <w:rPr>
          <w:b/>
          <w:b/>
          <w:bCs/>
        </w:rPr>
      </w:pPr>
      <w:r>
        <w:rPr>
          <w:b/>
          <w:bCs/>
        </w:rPr>
        <w:t>RASHODI/IZDACI</w:t>
      </w:r>
    </w:p>
    <w:p>
      <w:pPr>
        <w:pStyle w:val="Normal"/>
        <w:ind w:left="142" w:hanging="0"/>
        <w:jc w:val="both"/>
        <w:rPr/>
      </w:pPr>
      <w:r>
        <w:rPr/>
        <w:t>Ukupni rashodi/ izdaci u 2024. godini realizirani su u iznosu 870.346,12 €. U nastavku dajemo obrazloženje ostvarenja.</w:t>
      </w:r>
    </w:p>
    <w:p>
      <w:pPr>
        <w:pStyle w:val="Normal"/>
        <w:ind w:left="142" w:hanging="0"/>
        <w:jc w:val="both"/>
        <w:rPr/>
      </w:pPr>
      <w:r>
        <w:rPr/>
      </w:r>
    </w:p>
    <w:p>
      <w:pPr>
        <w:pStyle w:val="Normal"/>
        <w:numPr>
          <w:ilvl w:val="0"/>
          <w:numId w:val="7"/>
        </w:numPr>
        <w:ind w:left="567" w:hanging="425"/>
        <w:jc w:val="both"/>
        <w:rPr/>
      </w:pPr>
      <w:r>
        <w:rPr>
          <w:b/>
          <w:bCs/>
        </w:rPr>
        <w:t xml:space="preserve">Rashodi poslovanja </w:t>
      </w:r>
      <w:r>
        <w:rPr/>
        <w:t>(Razred 3) veći su za 7,70% u odnosu na isto izvještajno razdoblje prošle godine, a realizirani su u iznosu 870.346,12 €. Unutar ovog razreda realizirani su sljedeći rashodi:</w:t>
      </w:r>
    </w:p>
    <w:p>
      <w:pPr>
        <w:pStyle w:val="Normal"/>
        <w:numPr>
          <w:ilvl w:val="1"/>
          <w:numId w:val="7"/>
        </w:numPr>
        <w:ind w:left="567" w:hanging="425"/>
        <w:jc w:val="both"/>
        <w:rPr/>
      </w:pPr>
      <w:r>
        <w:rPr/>
        <w:t xml:space="preserve">Rashodima za zaposlene (skupina 31) iznosili su 316.066,17 €. Ovi rashodi odnose se na rashode za redovno uposlene u Općinskoj upravi, rashode za zaposlene na projektu Zaželi IV, te rashode za zaposlene u Javnim radovima. </w:t>
      </w:r>
    </w:p>
    <w:p>
      <w:pPr>
        <w:pStyle w:val="Normal"/>
        <w:numPr>
          <w:ilvl w:val="1"/>
          <w:numId w:val="7"/>
        </w:numPr>
        <w:ind w:left="567" w:hanging="425"/>
        <w:jc w:val="both"/>
        <w:rPr/>
      </w:pPr>
      <w:r>
        <w:rPr/>
        <w:t xml:space="preserve">Materijalni rashodi (skupina 32) u 2024. godini iznosili su 193.821,47 €. </w:t>
      </w:r>
    </w:p>
    <w:p>
      <w:pPr>
        <w:pStyle w:val="Normal"/>
        <w:ind w:left="567" w:hanging="0"/>
        <w:jc w:val="both"/>
        <w:rPr/>
      </w:pPr>
      <w:r>
        <w:rPr/>
      </w:r>
    </w:p>
    <w:p>
      <w:pPr>
        <w:pStyle w:val="Normal"/>
        <w:ind w:left="567" w:hanging="0"/>
        <w:jc w:val="both"/>
        <w:rPr/>
      </w:pPr>
      <w:r>
        <w:rPr/>
        <w:t>Materijalni rashodi u 2024. godini uključivali su materijalne rashode za zaposlene, uredski materijal, materijal za čišćenje i održavanje, rashode za električnu energiju, plin, motorni benzin i diesel gorivo, materijal za tekuće i investicijsko održavanje opreme, građevina i vozila, sitni inventar, rashode za usluge telefona i pošte, rashode za usluge održavanja opreme, građevina i vozila, rashode za usluge promidžbe i informiranja, komunalne usluge, zakupnine i najamnine, zdravstvene i veterinarske usluge, intelektualne usluge, računalne usluge, usluge čišćenja, naknade članovima općinskog vijeća, premije osiguranja, reprezentacija, članarine, pristojbe i naknade, rashodi protokola i sl.</w:t>
      </w:r>
    </w:p>
    <w:p>
      <w:pPr>
        <w:pStyle w:val="Normal"/>
        <w:ind w:left="567" w:hanging="0"/>
        <w:jc w:val="both"/>
        <w:rPr/>
      </w:pPr>
      <w:r>
        <w:rPr/>
      </w:r>
    </w:p>
    <w:p>
      <w:pPr>
        <w:pStyle w:val="Normal"/>
        <w:numPr>
          <w:ilvl w:val="1"/>
          <w:numId w:val="7"/>
        </w:numPr>
        <w:ind w:left="567" w:hanging="425"/>
        <w:jc w:val="both"/>
        <w:rPr/>
      </w:pPr>
      <w:r>
        <w:rPr/>
        <w:t xml:space="preserve">Financijski rashodi (skupina 34) u 2024. godini iznosili su 4.336,30 €. </w:t>
      </w:r>
    </w:p>
    <w:p>
      <w:pPr>
        <w:pStyle w:val="Normal"/>
        <w:ind w:left="567" w:hanging="0"/>
        <w:jc w:val="both"/>
        <w:rPr/>
      </w:pPr>
      <w:r>
        <w:rPr/>
        <w:t>Ovi rashodi obuhvaćaju rashode za usluge platnog prometa te naknada Ministarstvu financija za obavljanje usluge razreza i naplate općinskih poreza.</w:t>
      </w:r>
    </w:p>
    <w:p>
      <w:pPr>
        <w:pStyle w:val="Normal"/>
        <w:ind w:left="567" w:hanging="0"/>
        <w:jc w:val="both"/>
        <w:rPr/>
      </w:pPr>
      <w:r>
        <w:rPr/>
      </w:r>
    </w:p>
    <w:p>
      <w:pPr>
        <w:pStyle w:val="Normal"/>
        <w:numPr>
          <w:ilvl w:val="1"/>
          <w:numId w:val="7"/>
        </w:numPr>
        <w:ind w:left="567" w:hanging="425"/>
        <w:jc w:val="both"/>
        <w:rPr/>
      </w:pPr>
      <w:r>
        <w:rPr/>
        <w:t>Pomoći dane u inozemstvo i unutar općeg proračuna (skupina 36) realizirane su u iznosu 16.261,43 €. Rashodi ove skupine, a konkretno to su prijenosi osnovnoj školi u Negoslavcima za prehranu djece u predškoli i tekuće donacije za predškolu te prijenosi Vukovarsko- srijemskoj županiji za programe protiv ovisnosti, program umirovljenika i sl.</w:t>
      </w:r>
    </w:p>
    <w:p>
      <w:pPr>
        <w:pStyle w:val="Normal"/>
        <w:numPr>
          <w:ilvl w:val="1"/>
          <w:numId w:val="7"/>
        </w:numPr>
        <w:ind w:left="567" w:hanging="425"/>
        <w:jc w:val="both"/>
        <w:rPr/>
      </w:pPr>
      <w:r>
        <w:rPr/>
        <w:t>Naknade građanima i kućanstvima na temelju osiguranja i druge naknade (skupina 37) realizirane su u iznosu 47.974,11 €. U ovoj skupini evidentirani su rashodi za jednokratne pomoći u iznosu 7.775,00, za pomoći stanovanja u novcu 919,14 €, jednokratne pomoći umirovljenicima u iznosu 12.360,00 €, stipendiranje studenata i srednjoškolaca 3.000,00 €,  sufinanciranje prijevoza srednjoškolcima u iznosu 1.755,30 €, sufinanciranje prijevoza građana u iznosu 9.795,08 €, sufinanciranje ekskurzija u iznosu 5.165,50 €, Pomoć za novorođeno dijete u iznosu 4.200,00 €, te u naravi kupovina obuće za djecu u vrtićima i školi, paketi za potrebite i nabava pisanki, bojanki i pribora za predškolu.</w:t>
      </w:r>
    </w:p>
    <w:p>
      <w:pPr>
        <w:pStyle w:val="Normal"/>
        <w:numPr>
          <w:ilvl w:val="1"/>
          <w:numId w:val="7"/>
        </w:numPr>
        <w:ind w:left="567" w:hanging="425"/>
        <w:jc w:val="both"/>
        <w:rPr/>
      </w:pPr>
      <w:r>
        <w:rPr/>
        <w:t xml:space="preserve">Ostali rashodi (skupina 38) realizirani su u iznosu 144.385,10 €. Rashodi unutar ove skupine  obuhvaćaju donacije vjerskim zajednicama, donacije udrugama u kulturi, sportu, donacije udrugama žena, donacije udrugama iz područja socijalnih djelatnosti, donacije političkim strankama, donacije Hrvatskom crvenom križu, donacije Civilnoj zaštiti, naknada za štetu uzrokovanoj elementarnom nepogodom. </w:t>
      </w:r>
    </w:p>
    <w:p>
      <w:pPr>
        <w:pStyle w:val="Normal"/>
        <w:numPr>
          <w:ilvl w:val="0"/>
          <w:numId w:val="12"/>
        </w:numPr>
        <w:ind w:left="567" w:hanging="425"/>
        <w:jc w:val="both"/>
        <w:rPr/>
      </w:pPr>
      <w:r>
        <w:rPr>
          <w:b/>
          <w:bCs/>
        </w:rPr>
        <w:t>Rashodi za nabavu nefinancijske imovine</w:t>
      </w:r>
      <w:r>
        <w:rPr/>
        <w:t xml:space="preserve"> (Razred 4) realizirani su u iznosu 147.501,54 €. Rashodi za nabavu proizvedene dugotrajne imovine (skupina 42) realizirana je u iznosu 49.531,04 €. </w:t>
      </w:r>
    </w:p>
    <w:p>
      <w:pPr>
        <w:pStyle w:val="ListParagraph"/>
        <w:ind w:left="567" w:hanging="0"/>
        <w:jc w:val="both"/>
        <w:rPr/>
      </w:pPr>
      <w:r>
        <w:rPr/>
        <w:t>Ovi rashodi uključuju rashode za nabavu uredskog namještaja u iznosu 1.395,00 €, nabavu ostare uredske opreme u iznosu 3.240,00 €, nabavu opreme za grijanje i hlađenje u iznosu 755,00 €, opreme za ostale namjene u iznosu 492,50 € te nabavu videonadzora u iznosu 10.406,85 €.</w:t>
      </w:r>
    </w:p>
    <w:p>
      <w:pPr>
        <w:pStyle w:val="ListParagraph"/>
        <w:ind w:left="567" w:hanging="0"/>
        <w:jc w:val="both"/>
        <w:rPr/>
      </w:pPr>
      <w:r>
        <w:rPr/>
      </w:r>
    </w:p>
    <w:p>
      <w:pPr>
        <w:pStyle w:val="Normal"/>
        <w:numPr>
          <w:ilvl w:val="0"/>
          <w:numId w:val="8"/>
        </w:numPr>
        <w:ind w:left="567" w:hanging="360"/>
        <w:jc w:val="both"/>
        <w:rPr/>
      </w:pPr>
      <w:r>
        <w:rPr/>
        <w:t>Rashodi za dodatna ulaganja na nefinancijskoj imovini (skupina 45) realizirani su u iznosu 97.970,50 €. Unutar ove skupine evidentirani su rashodi za modernizaciju nogostupa u Općini u iznosu 34.875,34 €, rashodi za dodatna ulaganja na uređenju teretane u iznosu 24.112,53 €, dodatna ulaganja na uređenju groblja u iznosu 11.635,63 €,  te ulaganja na uređenju parkinga u iznosu 25.047,00 €.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426" w:leader="none"/>
        </w:tabs>
        <w:spacing w:before="12" w:after="0"/>
        <w:ind w:left="142" w:right="393" w:hanging="284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Prikaz manjka, odnosno viška proračuna</w:t>
      </w:r>
    </w:p>
    <w:p>
      <w:pPr>
        <w:pStyle w:val="ListParagraph"/>
        <w:widowControl w:val="false"/>
        <w:spacing w:before="12" w:after="0"/>
        <w:ind w:left="142" w:right="393" w:hanging="0"/>
        <w:contextualSpacing/>
        <w:jc w:val="both"/>
        <w:rPr/>
      </w:pPr>
      <w:r>
        <w:rPr/>
      </w:r>
    </w:p>
    <w:p>
      <w:pPr>
        <w:pStyle w:val="Normal"/>
        <w:ind w:left="567" w:hanging="0"/>
        <w:jc w:val="both"/>
        <w:rPr>
          <w:bCs/>
        </w:rPr>
      </w:pPr>
      <w:bookmarkStart w:id="0" w:name="_Hlk115878922"/>
      <w:r>
        <w:rPr>
          <w:bCs/>
        </w:rPr>
        <w:t>Općina Negoslavci ostvarila je u izvještajnom razdoblju višak prihoda/ primitaka 172.995,04 €. Sa prenesenim viškom iz prethodnog razdoblja u iznosu 90.698,69 €, na kraju izvještajnog razdoblja ostvarila je višak prihoda u iznosu 263.693,73 €.</w:t>
      </w:r>
      <w:bookmarkEnd w:id="0"/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426" w:leader="none"/>
        </w:tabs>
        <w:spacing w:before="12" w:after="0"/>
        <w:ind w:left="142" w:right="393" w:hanging="284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Stanje novčanih sredstava na računu proračuna i proračunskih korisnika 01.01.2024.  i 31.12.2024. godine</w:t>
      </w:r>
    </w:p>
    <w:tbl>
      <w:tblPr>
        <w:tblW w:w="9533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0"/>
        <w:gridCol w:w="1842"/>
        <w:gridCol w:w="2021"/>
      </w:tblGrid>
      <w:tr>
        <w:trPr>
          <w:trHeight w:val="315" w:hRule="atLeast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</w:rPr>
              <w:t>PRORAČUN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</w:rPr>
              <w:t>STANJE 1.1.2024.</w:t>
            </w:r>
          </w:p>
        </w:tc>
        <w:tc>
          <w:tcPr>
            <w:tcW w:w="202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</w:rPr>
              <w:t>STANJE 31.12.2024.</w:t>
            </w:r>
          </w:p>
        </w:tc>
      </w:tr>
      <w:tr>
        <w:trPr>
          <w:trHeight w:val="300" w:hRule="atLeast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</w:rPr>
              <w:t>PRORAČUN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</w:rPr>
              <w:t>230.785,88</w:t>
            </w:r>
          </w:p>
        </w:tc>
        <w:tc>
          <w:tcPr>
            <w:tcW w:w="2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</w:rPr>
              <w:t>387.807,16</w:t>
            </w:r>
          </w:p>
        </w:tc>
      </w:tr>
      <w:tr>
        <w:trPr>
          <w:trHeight w:val="300" w:hRule="atLeast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</w:rPr>
              <w:t>UKUPNO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</w:rPr>
              <w:t>230.785,88</w:t>
            </w:r>
          </w:p>
        </w:tc>
        <w:tc>
          <w:tcPr>
            <w:tcW w:w="2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</w:rPr>
              <w:t>387.807,16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" w:after="0"/>
        <w:ind w:right="393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426" w:leader="none"/>
        </w:tabs>
        <w:spacing w:before="12" w:after="0"/>
        <w:ind w:left="142" w:right="393" w:hanging="284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Prihodi i primici/ rashodi i izdaci ostvareni preuzimanjem nefinancijske imovine i financijske imovine u naplati potraživanja javnih davanja</w:t>
      </w:r>
    </w:p>
    <w:p>
      <w:pPr>
        <w:pStyle w:val="ListParagraph"/>
        <w:ind w:left="142" w:hanging="0"/>
        <w:rPr/>
      </w:pPr>
      <w:r>
        <w:rPr/>
        <w:t>U 2024. godini nisu ostvareni ni prihodi/ primici niti rashodi/ izdaci preuzimanjem nefinancijske imovine i financijske imovine u naplati potraživanja javnih davanja</w:t>
      </w:r>
    </w:p>
    <w:p>
      <w:pPr>
        <w:pStyle w:val="Normal"/>
        <w:ind w:left="142" w:hanging="0"/>
        <w:jc w:val="both"/>
        <w:rPr>
          <w:bCs/>
        </w:rPr>
      </w:pPr>
      <w:r>
        <w:rPr>
          <w:bCs/>
        </w:rPr>
      </w:r>
    </w:p>
    <w:p>
      <w:pPr>
        <w:pStyle w:val="ListParagraph"/>
        <w:widowControl w:val="false"/>
        <w:numPr>
          <w:ilvl w:val="0"/>
          <w:numId w:val="10"/>
        </w:numPr>
        <w:spacing w:before="12" w:after="0"/>
        <w:ind w:left="284" w:right="393" w:hanging="360"/>
        <w:contextualSpacing/>
        <w:jc w:val="both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OBRAZLOŽENJE POSEBNOG DIJELA IZVJEŠTAJA</w:t>
      </w:r>
    </w:p>
    <w:p>
      <w:pPr>
        <w:pStyle w:val="ListParagraph"/>
        <w:widowControl w:val="false"/>
        <w:spacing w:before="12" w:after="0"/>
        <w:ind w:left="284" w:right="393" w:hanging="0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Obrazloženje posebnog dijela izvještaja o izvršenju proračuna po programskoj organizacijskoj klasifikaciji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142" w:right="393" w:hanging="0"/>
        <w:contextualSpacing/>
        <w:jc w:val="both"/>
        <w:rPr/>
      </w:pPr>
      <w:r>
        <w:rPr/>
      </w:r>
    </w:p>
    <w:p>
      <w:pPr>
        <w:pStyle w:val="Normal"/>
        <w:ind w:left="142" w:hanging="0"/>
        <w:jc w:val="both"/>
        <w:rPr/>
      </w:pPr>
      <w:r>
        <w:rPr/>
        <w:t xml:space="preserve">Ukupni rashodi/izdaci realizirani u 2024. godine iznose 870.346,12 € ili 61,24 %  plana. </w:t>
      </w:r>
    </w:p>
    <w:p>
      <w:pPr>
        <w:pStyle w:val="Normal"/>
        <w:ind w:left="142" w:hanging="0"/>
        <w:jc w:val="both"/>
        <w:rPr/>
      </w:pPr>
      <w:r>
        <w:rPr/>
        <w:t xml:space="preserve">U nastavku daje se obrazloženje ostvarenja pojedinih vrsta rashoda/ izdataka po organizacijskoj i programskoj klasifikaciji, te s ciljevima i pokazateljima uspješnosti realizacije tih ciljeva. </w:t>
      </w:r>
    </w:p>
    <w:p>
      <w:pPr>
        <w:pStyle w:val="Normal"/>
        <w:ind w:left="142" w:hanging="0"/>
        <w:jc w:val="both"/>
        <w:rPr/>
      </w:pPr>
      <w:r>
        <w:rPr/>
      </w:r>
    </w:p>
    <w:p>
      <w:pPr>
        <w:pStyle w:val="ListParagraph"/>
        <w:numPr>
          <w:ilvl w:val="1"/>
          <w:numId w:val="10"/>
        </w:numPr>
        <w:jc w:val="both"/>
        <w:rPr>
          <w:b/>
          <w:b/>
          <w:bCs/>
        </w:rPr>
      </w:pPr>
      <w:r>
        <w:rPr>
          <w:b/>
          <w:bCs/>
        </w:rPr>
        <w:t>OPĆINSKO VIJEĆE, OPĆINSKI NAČELNIK I TIJELA</w:t>
      </w:r>
    </w:p>
    <w:p>
      <w:pPr>
        <w:pStyle w:val="Normal"/>
        <w:ind w:left="218" w:hanging="0"/>
        <w:jc w:val="both"/>
        <w:rPr>
          <w:bCs/>
          <w:iCs/>
        </w:rPr>
      </w:pPr>
      <w:r>
        <w:rPr>
          <w:bCs/>
          <w:iCs/>
        </w:rPr>
        <w:t>U okviru ove glave realizirani su sljedeći programi, aktivnosti i projekti:</w:t>
      </w:r>
    </w:p>
    <w:p>
      <w:pPr>
        <w:pStyle w:val="ListParagraph"/>
        <w:ind w:left="578" w:hanging="0"/>
        <w:jc w:val="both"/>
        <w:rPr>
          <w:szCs w:val="20"/>
        </w:rPr>
      </w:pPr>
      <w:r>
        <w:rPr>
          <w:szCs w:val="20"/>
        </w:rPr>
        <w:tab/>
        <w:t>a)</w:t>
        <w:tab/>
      </w:r>
      <w:r>
        <w:rPr>
          <w:b/>
          <w:bCs/>
          <w:szCs w:val="20"/>
        </w:rPr>
        <w:t>Program: Donošenje akata i mjera iz djelokruga predstavničkog i izvršnog tijela</w:t>
      </w:r>
      <w:r>
        <w:rPr>
          <w:szCs w:val="20"/>
        </w:rPr>
        <w:t xml:space="preserve"> obuhvaća rashode za slijedeće aktivnosti:</w:t>
      </w:r>
    </w:p>
    <w:p>
      <w:pPr>
        <w:pStyle w:val="ListParagraph"/>
        <w:ind w:left="578" w:hanging="0"/>
        <w:jc w:val="both"/>
        <w:rPr>
          <w:szCs w:val="20"/>
        </w:rPr>
      </w:pPr>
      <w:r>
        <w:rPr>
          <w:szCs w:val="20"/>
        </w:rPr>
        <w:t>-</w:t>
        <w:tab/>
        <w:t xml:space="preserve">Redovni rad Općinskog vijeća - Ova aktivnost realizirana je u iznosu 11.993,21 € i obuhvaća troškove naknada članova općinskog vijeća, troškove vezane za lokalne izbore, te premiju osiguranja imovine. </w:t>
      </w:r>
    </w:p>
    <w:p>
      <w:pPr>
        <w:pStyle w:val="ListParagraph"/>
        <w:ind w:left="578" w:hanging="0"/>
        <w:jc w:val="both"/>
        <w:rPr>
          <w:szCs w:val="20"/>
        </w:rPr>
      </w:pPr>
      <w:r>
        <w:rPr>
          <w:szCs w:val="20"/>
        </w:rPr>
        <w:t>-</w:t>
        <w:tab/>
        <w:t>Potpora radu političkih stranaka - Ova aktivnost realizirana je u iznosu 5.500,00 €, a odnosi se na troškove vezane za rad političkih stranaka na području općine Negoslavci.</w:t>
      </w:r>
    </w:p>
    <w:p>
      <w:pPr>
        <w:pStyle w:val="ListParagraph"/>
        <w:ind w:left="578" w:hanging="0"/>
        <w:jc w:val="both"/>
        <w:rPr>
          <w:szCs w:val="20"/>
        </w:rPr>
      </w:pPr>
      <w:r>
        <w:rPr>
          <w:szCs w:val="20"/>
        </w:rPr>
      </w:r>
    </w:p>
    <w:tbl>
      <w:tblPr>
        <w:tblW w:w="10776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0"/>
        <w:gridCol w:w="5365"/>
        <w:gridCol w:w="1272"/>
        <w:gridCol w:w="1276"/>
        <w:gridCol w:w="1423"/>
      </w:tblGrid>
      <w:tr>
        <w:trPr>
          <w:trHeight w:val="225" w:hRule="atLeast"/>
        </w:trPr>
        <w:tc>
          <w:tcPr>
            <w:tcW w:w="6805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Organizacijska klasifikacija</w:t>
            </w:r>
          </w:p>
        </w:tc>
        <w:tc>
          <w:tcPr>
            <w:tcW w:w="1272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2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5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2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423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3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000000" w:fill="9999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272" w:type="dxa"/>
            <w:tcBorders/>
            <w:shd w:color="000000" w:fill="9999F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276" w:type="dxa"/>
            <w:tcBorders/>
            <w:shd w:color="000000" w:fill="9999F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423" w:type="dxa"/>
            <w:tcBorders/>
            <w:shd w:color="000000" w:fill="9999F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000000" w:fill="9999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GLAVA 00101          Općinsko vijeće</w:t>
            </w:r>
          </w:p>
        </w:tc>
        <w:tc>
          <w:tcPr>
            <w:tcW w:w="1272" w:type="dxa"/>
            <w:tcBorders/>
            <w:shd w:color="000000" w:fill="9999F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17.800,00</w:t>
            </w:r>
          </w:p>
        </w:tc>
        <w:tc>
          <w:tcPr>
            <w:tcW w:w="1276" w:type="dxa"/>
            <w:tcBorders/>
            <w:shd w:color="000000" w:fill="9999F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17.493,21</w:t>
            </w:r>
          </w:p>
        </w:tc>
        <w:tc>
          <w:tcPr>
            <w:tcW w:w="1423" w:type="dxa"/>
            <w:tcBorders/>
            <w:shd w:color="000000" w:fill="9999F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98,28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 1001</w:t>
            </w:r>
          </w:p>
        </w:tc>
        <w:tc>
          <w:tcPr>
            <w:tcW w:w="5365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PRIPREMA I DONOŠENJE AKATA IZ DJELOKRUGA PREDST.TIJELA</w:t>
            </w:r>
          </w:p>
        </w:tc>
        <w:tc>
          <w:tcPr>
            <w:tcW w:w="1272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17.800,00</w:t>
            </w:r>
          </w:p>
        </w:tc>
        <w:tc>
          <w:tcPr>
            <w:tcW w:w="1276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17.493,21</w:t>
            </w:r>
          </w:p>
        </w:tc>
        <w:tc>
          <w:tcPr>
            <w:tcW w:w="1423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98,28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A100100</w:t>
            </w:r>
          </w:p>
        </w:tc>
        <w:tc>
          <w:tcPr>
            <w:tcW w:w="5365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Redovni rad općinskog vijeća</w:t>
            </w:r>
          </w:p>
        </w:tc>
        <w:tc>
          <w:tcPr>
            <w:tcW w:w="1272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11.993,21</w:t>
            </w:r>
          </w:p>
        </w:tc>
        <w:tc>
          <w:tcPr>
            <w:tcW w:w="1423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97,51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A100200</w:t>
            </w:r>
          </w:p>
        </w:tc>
        <w:tc>
          <w:tcPr>
            <w:tcW w:w="5365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Potpora radu političkih stranaka</w:t>
            </w:r>
          </w:p>
        </w:tc>
        <w:tc>
          <w:tcPr>
            <w:tcW w:w="1272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5.500,00</w:t>
            </w:r>
          </w:p>
        </w:tc>
        <w:tc>
          <w:tcPr>
            <w:tcW w:w="1423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</w:tbl>
    <w:p>
      <w:pPr>
        <w:pStyle w:val="ListParagraph"/>
        <w:ind w:left="578" w:hanging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CILJ PROGRAMA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0" w:right="393" w:hanging="0"/>
        <w:contextualSpacing/>
        <w:jc w:val="both"/>
        <w:rPr/>
      </w:pPr>
      <w:r>
        <w:rPr/>
        <w:t>Cilj programa je obavljanja poslova iz samoupravnog djelokruga i njihovo unaprjeđenje sa svrhom poboljšanja kvalitete usluge stanovnicima Općine. Pokazatelji rezultata ukazuju na ostvarenje zadanog cilja.</w:t>
      </w:r>
    </w:p>
    <w:tbl>
      <w:tblPr>
        <w:tblW w:w="10430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781"/>
        <w:gridCol w:w="2319"/>
        <w:gridCol w:w="2360"/>
      </w:tblGrid>
      <w:tr>
        <w:trPr>
          <w:trHeight w:val="684" w:hRule="atLeast"/>
        </w:trPr>
        <w:tc>
          <w:tcPr>
            <w:tcW w:w="39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78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Početna vrijednost</w:t>
              <w:br/>
              <w:t>pokazatelja rezultata</w:t>
            </w:r>
          </w:p>
        </w:tc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6A6A6" w:themeFill="background1" w:themeFillShade="a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Ciljna</w:t>
              <w:br/>
              <w:t>vrijednost</w:t>
              <w:br/>
              <w:t>2024.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396" w:hRule="atLeast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pisanih pritužbi građana na rad djelatnika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142" w:right="393" w:hanging="0"/>
        <w:contextualSpacing/>
        <w:jc w:val="both"/>
        <w:rPr/>
      </w:pPr>
      <w:r>
        <w:rPr/>
      </w:r>
    </w:p>
    <w:p>
      <w:pPr>
        <w:pStyle w:val="Normal"/>
        <w:ind w:left="360" w:hanging="0"/>
        <w:jc w:val="both"/>
        <w:rPr>
          <w:b/>
          <w:b/>
          <w:iCs/>
        </w:rPr>
      </w:pPr>
      <w:r>
        <w:rPr>
          <w:b/>
          <w:iCs/>
        </w:rPr>
        <w:t xml:space="preserve">2.2. JEDINSTVENI UPRAVNI ODJEL </w:t>
      </w:r>
    </w:p>
    <w:p>
      <w:pPr>
        <w:pStyle w:val="ListParagraph"/>
        <w:ind w:left="142" w:hanging="0"/>
        <w:jc w:val="both"/>
        <w:rPr>
          <w:bCs/>
          <w:iCs/>
        </w:rPr>
      </w:pPr>
      <w:r>
        <w:rPr>
          <w:bCs/>
          <w:iCs/>
        </w:rPr>
        <w:t xml:space="preserve">U okviru ovog odjela realizirani su ukupni rashodi u iznosu 853.202,91 €. </w:t>
      </w:r>
    </w:p>
    <w:p>
      <w:pPr>
        <w:pStyle w:val="ListParagraph"/>
        <w:ind w:left="142" w:hanging="0"/>
        <w:jc w:val="both"/>
        <w:rPr>
          <w:bCs/>
          <w:iCs/>
        </w:rPr>
      </w:pPr>
      <w:r>
        <w:rPr>
          <w:bCs/>
          <w:iCs/>
        </w:rPr>
        <w:t>U nastavku se daje obrazloženje realiziranih rashoda po  programima, aktivnostima i projektima kako slijedi:</w:t>
      </w:r>
    </w:p>
    <w:p>
      <w:pPr>
        <w:pStyle w:val="Normal"/>
        <w:ind w:left="131" w:hanging="0"/>
        <w:jc w:val="both"/>
        <w:rPr>
          <w:bCs/>
          <w:iCs/>
        </w:rPr>
      </w:pPr>
      <w:r>
        <w:rPr>
          <w:bCs/>
          <w:iCs/>
        </w:rPr>
        <w:t>U okviru ove glave realizirani su sljedeći programi, aktivnosti i projekti:</w:t>
      </w:r>
    </w:p>
    <w:p>
      <w:pPr>
        <w:pStyle w:val="Normal"/>
        <w:ind w:left="284" w:hanging="709"/>
        <w:jc w:val="both"/>
        <w:rPr>
          <w:szCs w:val="20"/>
        </w:rPr>
      </w:pPr>
      <w:r>
        <w:rPr>
          <w:szCs w:val="20"/>
        </w:rPr>
        <w:tab/>
        <w:t>a)</w:t>
        <w:tab/>
        <w:t>Pr</w:t>
      </w:r>
      <w:r>
        <w:rPr>
          <w:b/>
          <w:bCs/>
          <w:szCs w:val="20"/>
        </w:rPr>
        <w:t>ogram: Donošenje i provedba akata i mjera iz djelokruga</w:t>
      </w:r>
      <w:r>
        <w:rPr>
          <w:szCs w:val="20"/>
        </w:rPr>
        <w:t xml:space="preserve"> obuhvaća rashode za slijedeće aktivnosti:</w:t>
      </w:r>
    </w:p>
    <w:p>
      <w:pPr>
        <w:pStyle w:val="Normal"/>
        <w:ind w:left="709" w:hanging="425"/>
        <w:jc w:val="both"/>
        <w:rPr>
          <w:szCs w:val="20"/>
        </w:rPr>
      </w:pPr>
      <w:r>
        <w:rPr>
          <w:szCs w:val="20"/>
        </w:rPr>
        <w:t>-</w:t>
        <w:tab/>
        <w:t>Rashode za zaposlene- Ova aktivnost obuhvaća plaće za zaposlene i naknade, a u 2024. godini realizirana je u iznosu 128.420,27 €.</w:t>
      </w:r>
    </w:p>
    <w:p>
      <w:pPr>
        <w:pStyle w:val="Normal"/>
        <w:ind w:left="709" w:hanging="425"/>
        <w:jc w:val="both"/>
        <w:rPr>
          <w:szCs w:val="20"/>
        </w:rPr>
      </w:pPr>
      <w:r>
        <w:rPr>
          <w:szCs w:val="20"/>
        </w:rPr>
        <w:t>-</w:t>
        <w:tab/>
        <w:t xml:space="preserve">Materijalni i financijski rashodi- realizirani su u iznosu 164.576,77 € i obuhvaćaju troškove putovanja zaposlenih, troškove prijevoza, režijske rashode, rashode za održavanje objekata i opreme, troškovi objava u elektronskim medijima, intelektualne usluge i sl. </w:t>
      </w:r>
    </w:p>
    <w:tbl>
      <w:tblPr>
        <w:tblW w:w="10632" w:type="dxa"/>
        <w:jc w:val="left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0"/>
        <w:gridCol w:w="5364"/>
        <w:gridCol w:w="1277"/>
        <w:gridCol w:w="1275"/>
        <w:gridCol w:w="1276"/>
      </w:tblGrid>
      <w:tr>
        <w:trPr>
          <w:trHeight w:val="225" w:hRule="atLeast"/>
        </w:trPr>
        <w:tc>
          <w:tcPr>
            <w:tcW w:w="6804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Organizacijska klasifikacija</w:t>
            </w:r>
          </w:p>
        </w:tc>
        <w:tc>
          <w:tcPr>
            <w:tcW w:w="1277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7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4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7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275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1002</w:t>
            </w:r>
          </w:p>
        </w:tc>
        <w:tc>
          <w:tcPr>
            <w:tcW w:w="5364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Donošenje i provedba akata i mjera iz djelokruga</w:t>
            </w:r>
          </w:p>
        </w:tc>
        <w:tc>
          <w:tcPr>
            <w:tcW w:w="1277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400.402,00</w:t>
            </w:r>
          </w:p>
        </w:tc>
        <w:tc>
          <w:tcPr>
            <w:tcW w:w="1275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313.622,69</w:t>
            </w:r>
          </w:p>
        </w:tc>
        <w:tc>
          <w:tcPr>
            <w:tcW w:w="1276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78,33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A1002 01</w:t>
            </w:r>
          </w:p>
        </w:tc>
        <w:tc>
          <w:tcPr>
            <w:tcW w:w="5364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Administrativno, tehničko i stručno osoblje</w:t>
            </w:r>
          </w:p>
        </w:tc>
        <w:tc>
          <w:tcPr>
            <w:tcW w:w="1277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339.132,00</w:t>
            </w:r>
          </w:p>
        </w:tc>
        <w:tc>
          <w:tcPr>
            <w:tcW w:w="1275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292.997,04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86,40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A1002 02</w:t>
            </w:r>
          </w:p>
        </w:tc>
        <w:tc>
          <w:tcPr>
            <w:tcW w:w="5364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Bankarske uslug4 i usluge platnog prometa</w:t>
            </w:r>
          </w:p>
        </w:tc>
        <w:tc>
          <w:tcPr>
            <w:tcW w:w="1277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5.630,00</w:t>
            </w:r>
          </w:p>
        </w:tc>
        <w:tc>
          <w:tcPr>
            <w:tcW w:w="1275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4.336,30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77,02</w:t>
            </w:r>
          </w:p>
        </w:tc>
      </w:tr>
    </w:tbl>
    <w:p>
      <w:pPr>
        <w:pStyle w:val="Normal"/>
        <w:ind w:left="709" w:hanging="425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CILJ PROGRAMA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0" w:right="393" w:hanging="0"/>
        <w:contextualSpacing/>
        <w:jc w:val="both"/>
        <w:rPr/>
      </w:pPr>
      <w:r>
        <w:rPr/>
        <w:t>Cilj programa je obavljanja poslova iz samoupravnog djelokruga i njihovo unaprjeđenje sa svrhom poboljšanja kvalitete usluge stanovnicima Općine. Pokazatelji rezultata ukazuju na ostvarenje zadanog cilja.</w:t>
      </w:r>
    </w:p>
    <w:tbl>
      <w:tblPr>
        <w:tblW w:w="10430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781"/>
        <w:gridCol w:w="2319"/>
        <w:gridCol w:w="2360"/>
      </w:tblGrid>
      <w:tr>
        <w:trPr>
          <w:trHeight w:val="684" w:hRule="atLeast"/>
        </w:trPr>
        <w:tc>
          <w:tcPr>
            <w:tcW w:w="39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78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Početna vrijednost</w:t>
              <w:br/>
              <w:t>pokazatelja rezultata</w:t>
            </w:r>
          </w:p>
        </w:tc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Ciljna</w:t>
              <w:br/>
              <w:t>vrijednost</w:t>
              <w:br/>
              <w:t>2024.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396" w:hRule="atLeast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pisanih pritužbi građana na rad djelatnika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720" w:right="393" w:hanging="0"/>
        <w:contextualSpacing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left="284" w:hanging="0"/>
        <w:jc w:val="both"/>
        <w:rPr>
          <w:szCs w:val="20"/>
        </w:rPr>
      </w:pPr>
      <w:r>
        <w:rPr>
          <w:b/>
          <w:bCs/>
          <w:szCs w:val="20"/>
        </w:rPr>
        <w:t xml:space="preserve">b) Program: Protupožarna i civilna zaštita </w:t>
      </w:r>
      <w:r>
        <w:rPr>
          <w:szCs w:val="20"/>
        </w:rPr>
        <w:t>obuhvaća rashode za slijedeće aktivnosti:</w:t>
      </w:r>
    </w:p>
    <w:p>
      <w:pPr>
        <w:pStyle w:val="Normal"/>
        <w:ind w:left="709" w:hanging="425"/>
        <w:jc w:val="both"/>
        <w:rPr>
          <w:szCs w:val="20"/>
        </w:rPr>
      </w:pPr>
      <w:r>
        <w:rPr>
          <w:szCs w:val="20"/>
        </w:rPr>
        <w:t>-</w:t>
        <w:tab/>
        <w:t>Protupožarna zaštita  - Ova aktivnost realizirana je u iznosu 6.650,00 €. Ovi rashodi uključuju rashode za sufinanciranje rada JVP Vukovarsko-srijemske županije.</w:t>
      </w:r>
    </w:p>
    <w:p>
      <w:pPr>
        <w:pStyle w:val="Normal"/>
        <w:ind w:left="709" w:hanging="425"/>
        <w:jc w:val="both"/>
        <w:rPr>
          <w:szCs w:val="20"/>
        </w:rPr>
      </w:pPr>
      <w:r>
        <w:rPr>
          <w:szCs w:val="20"/>
        </w:rPr>
        <w:t xml:space="preserve">.  </w:t>
      </w:r>
    </w:p>
    <w:p>
      <w:pPr>
        <w:pStyle w:val="Normal"/>
        <w:ind w:left="709" w:hanging="425"/>
        <w:jc w:val="both"/>
        <w:rPr>
          <w:szCs w:val="20"/>
        </w:rPr>
      </w:pPr>
      <w:r>
        <w:rPr>
          <w:szCs w:val="20"/>
        </w:rPr>
        <w:t>-</w:t>
        <w:tab/>
        <w:t xml:space="preserve">Civilna zaštita- Rashodi za ova aktivnost realizirani su u iznosu 663,61 i odnose se na pomoć Hrvatskog gorskoj službi spašavanja, te za ažuriranja dokumentacije potrebe civilne zaštite. </w:t>
      </w:r>
    </w:p>
    <w:p>
      <w:pPr>
        <w:pStyle w:val="Normal"/>
        <w:ind w:left="709" w:hanging="425"/>
        <w:jc w:val="both"/>
        <w:rPr>
          <w:szCs w:val="20"/>
        </w:rPr>
      </w:pPr>
      <w:r>
        <w:rPr>
          <w:szCs w:val="20"/>
        </w:rPr>
      </w:r>
    </w:p>
    <w:tbl>
      <w:tblPr>
        <w:tblW w:w="10632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0"/>
        <w:gridCol w:w="5364"/>
        <w:gridCol w:w="1276"/>
        <w:gridCol w:w="1276"/>
        <w:gridCol w:w="1276"/>
      </w:tblGrid>
      <w:tr>
        <w:trPr>
          <w:trHeight w:val="225" w:hRule="atLeast"/>
        </w:trPr>
        <w:tc>
          <w:tcPr>
            <w:tcW w:w="6804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Organizacijska klasifikacija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4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336" w:hRule="atLeast"/>
        </w:trPr>
        <w:tc>
          <w:tcPr>
            <w:tcW w:w="1440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5364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PROTUPOŽARNA  I CIVILNA ZAŠTITA</w:t>
            </w:r>
          </w:p>
        </w:tc>
        <w:tc>
          <w:tcPr>
            <w:tcW w:w="1276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7.980,00</w:t>
            </w:r>
          </w:p>
        </w:tc>
        <w:tc>
          <w:tcPr>
            <w:tcW w:w="1276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6.650</w:t>
            </w:r>
          </w:p>
        </w:tc>
        <w:tc>
          <w:tcPr>
            <w:tcW w:w="1276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83,33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A100301</w:t>
            </w:r>
          </w:p>
        </w:tc>
        <w:tc>
          <w:tcPr>
            <w:tcW w:w="5364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Protupožarna zaštita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A100302</w:t>
            </w:r>
          </w:p>
        </w:tc>
        <w:tc>
          <w:tcPr>
            <w:tcW w:w="5364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Civilna zaštita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>
      <w:pPr>
        <w:pStyle w:val="Normal"/>
        <w:ind w:left="709" w:hanging="425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  <w:t>CILJ PROGRAMA</w:t>
      </w:r>
    </w:p>
    <w:p>
      <w:pPr>
        <w:pStyle w:val="Normal"/>
        <w:ind w:left="426" w:hanging="0"/>
        <w:jc w:val="both"/>
        <w:rPr/>
      </w:pPr>
      <w:r>
        <w:rPr/>
        <w:t>Zaštita stanovništva jedan je od najbitnijih ciljeva Općine. Upravo ovim aktivnostima doprinosimo ostvarenju ciljeva programa, odnosno poboljšanje kvalitete života stanovnika Općine.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720" w:right="393" w:hanging="0"/>
        <w:contextualSpacing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" w:after="0"/>
        <w:ind w:left="360" w:right="393" w:hanging="0"/>
        <w:jc w:val="both"/>
        <w:rPr>
          <w:szCs w:val="20"/>
        </w:rPr>
      </w:pPr>
      <w:r>
        <w:rPr>
          <w:b/>
          <w:bCs/>
          <w:szCs w:val="20"/>
        </w:rPr>
        <w:t>c)Program: Javne potrebe u obrazovanju općine Negoslavci</w:t>
      </w:r>
      <w:r>
        <w:rPr>
          <w:szCs w:val="20"/>
        </w:rPr>
        <w:t xml:space="preserve"> obuhvaća rashode za sljedeće aktivnosti: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142" w:right="393" w:hanging="0"/>
        <w:contextualSpacing/>
        <w:jc w:val="both"/>
        <w:rPr>
          <w:szCs w:val="20"/>
        </w:rPr>
      </w:pPr>
      <w:r>
        <w:rPr>
          <w:szCs w:val="20"/>
        </w:rPr>
        <w:t>Predškola - Ova aktivnost realizirana je u iznosu 11.945,79 €. U okviru ove aktivnosti realizirani su rashodi za sufinanciranje rada djelatnice (razlika iznosa koje sufinancira država), tekuće donacije za financiranje prehrane za predškolski odgoj, te nabavka bojanki, pisanki i ostalog pribora za predškolu.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142" w:right="393" w:hanging="0"/>
        <w:contextualSpacing/>
        <w:jc w:val="both"/>
        <w:rPr>
          <w:szCs w:val="20"/>
        </w:rPr>
      </w:pPr>
      <w:r>
        <w:rPr>
          <w:szCs w:val="20"/>
        </w:rPr>
        <w:t>Sufinanciranje javnog prijevoza učenika srednje škole – sufinanciranje prijevoza učenika i studenata u iznosu 1.755,30 €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142" w:right="393" w:hanging="0"/>
        <w:contextualSpacing/>
        <w:jc w:val="both"/>
        <w:rPr>
          <w:szCs w:val="20"/>
        </w:rPr>
      </w:pPr>
      <w:r>
        <w:rPr>
          <w:szCs w:val="20"/>
        </w:rPr>
        <w:t>Osnovno školstvo – sufinanciranje ekskurzija učenicima u iznosu 5.165,50 € i kupovina obuće za učenike osnovnih škola u iznosu 2.220,00 €.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142" w:right="393" w:hanging="0"/>
        <w:contextualSpacing/>
        <w:jc w:val="both"/>
        <w:rPr>
          <w:szCs w:val="20"/>
        </w:rPr>
      </w:pPr>
      <w:r>
        <w:rPr>
          <w:szCs w:val="20"/>
        </w:rPr>
      </w:r>
    </w:p>
    <w:tbl>
      <w:tblPr>
        <w:tblW w:w="10632" w:type="dxa"/>
        <w:jc w:val="left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0"/>
        <w:gridCol w:w="5364"/>
        <w:gridCol w:w="1277"/>
        <w:gridCol w:w="1275"/>
        <w:gridCol w:w="1276"/>
      </w:tblGrid>
      <w:tr>
        <w:trPr>
          <w:trHeight w:val="225" w:hRule="atLeast"/>
        </w:trPr>
        <w:tc>
          <w:tcPr>
            <w:tcW w:w="6804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7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4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7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275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5364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Javne potrebe u obrazovanju</w:t>
            </w:r>
          </w:p>
        </w:tc>
        <w:tc>
          <w:tcPr>
            <w:tcW w:w="1277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52.650</w:t>
            </w:r>
          </w:p>
        </w:tc>
        <w:tc>
          <w:tcPr>
            <w:tcW w:w="1275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24999,09</w:t>
            </w:r>
          </w:p>
        </w:tc>
        <w:tc>
          <w:tcPr>
            <w:tcW w:w="1276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47,48</w:t>
            </w:r>
          </w:p>
        </w:tc>
      </w:tr>
      <w:tr>
        <w:trPr>
          <w:trHeight w:val="316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A1004 01</w:t>
            </w:r>
          </w:p>
        </w:tc>
        <w:tc>
          <w:tcPr>
            <w:tcW w:w="5364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Predškola</w:t>
            </w:r>
          </w:p>
        </w:tc>
        <w:tc>
          <w:tcPr>
            <w:tcW w:w="1277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12.050,00</w:t>
            </w:r>
          </w:p>
        </w:tc>
        <w:tc>
          <w:tcPr>
            <w:tcW w:w="1275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5.099,27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42,32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A1004 02</w:t>
            </w:r>
          </w:p>
        </w:tc>
        <w:tc>
          <w:tcPr>
            <w:tcW w:w="5364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Sufinanciranje javnog prijevoza SS</w:t>
            </w:r>
          </w:p>
        </w:tc>
        <w:tc>
          <w:tcPr>
            <w:tcW w:w="1277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10.300,00</w:t>
            </w:r>
          </w:p>
        </w:tc>
        <w:tc>
          <w:tcPr>
            <w:tcW w:w="1275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6.920,80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67,19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A1004 03</w:t>
            </w:r>
          </w:p>
        </w:tc>
        <w:tc>
          <w:tcPr>
            <w:tcW w:w="5364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Osnovno školstvo</w:t>
            </w:r>
          </w:p>
        </w:tc>
        <w:tc>
          <w:tcPr>
            <w:tcW w:w="1277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6.800,00</w:t>
            </w:r>
          </w:p>
        </w:tc>
        <w:tc>
          <w:tcPr>
            <w:tcW w:w="1275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6.132,50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90,18</w:t>
            </w:r>
          </w:p>
        </w:tc>
      </w:tr>
    </w:tbl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720" w:right="393" w:hanging="0"/>
        <w:contextualSpacing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  <w:t>CILJ PROGRAMA</w:t>
      </w:r>
    </w:p>
    <w:p>
      <w:pPr>
        <w:pStyle w:val="Normal"/>
        <w:ind w:left="426" w:hanging="0"/>
        <w:jc w:val="both"/>
        <w:rPr/>
      </w:pPr>
      <w:r>
        <w:rPr/>
        <w:t xml:space="preserve">Najvećim dijelom realizacijom programa se ostvaruju i ciljevi programa, odnosno programom se nastoji pomoći učenicima i studentima u financiranju troškova obrazovanja i osnovnoj školi u obavljanju redovne djelatnosti. </w:t>
      </w:r>
    </w:p>
    <w:p>
      <w:pPr>
        <w:pStyle w:val="Normal"/>
        <w:ind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  <w:t>POKAZATELJ USPJEŠNOSTI</w:t>
      </w:r>
    </w:p>
    <w:tbl>
      <w:tblPr>
        <w:tblW w:w="1063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8"/>
        <w:gridCol w:w="2693"/>
        <w:gridCol w:w="1560"/>
        <w:gridCol w:w="1562"/>
        <w:gridCol w:w="1559"/>
      </w:tblGrid>
      <w:tr>
        <w:trPr>
          <w:trHeight w:val="840" w:hRule="atLeast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Aktivnost/ projekt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Ciljna vrijednost 2024.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10" w:hRule="atLeast"/>
        </w:trPr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A1004 03 Dodjela  pomoći i donacija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Broj odluka o jednokratnoj novčanoj pomoći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72</w:t>
            </w:r>
          </w:p>
        </w:tc>
      </w:tr>
    </w:tbl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284" w:hanging="0"/>
        <w:jc w:val="both"/>
        <w:rPr>
          <w:szCs w:val="20"/>
        </w:rPr>
      </w:pPr>
      <w:r>
        <w:rPr>
          <w:szCs w:val="20"/>
        </w:rPr>
        <w:t>d)</w:t>
        <w:tab/>
      </w:r>
      <w:r>
        <w:rPr>
          <w:b/>
          <w:bCs/>
          <w:szCs w:val="20"/>
        </w:rPr>
        <w:t xml:space="preserve">Program: Održavanje objekata i uređenje komunalne infrastrukture </w:t>
      </w:r>
      <w:r>
        <w:rPr>
          <w:szCs w:val="20"/>
        </w:rPr>
        <w:t>obuhvaća rashode za slijedeće aktivnosti:</w:t>
      </w:r>
    </w:p>
    <w:p>
      <w:pPr>
        <w:pStyle w:val="Normal"/>
        <w:ind w:left="709" w:hanging="425"/>
        <w:jc w:val="both"/>
        <w:rPr>
          <w:szCs w:val="20"/>
        </w:rPr>
      </w:pPr>
      <w:r>
        <w:rPr>
          <w:szCs w:val="20"/>
        </w:rPr>
        <w:t>-</w:t>
        <w:tab/>
        <w:t>Održavanje komunalne infrastrukture- Ova aktivnost realizirana je u iznosu 107.001,10 €, a odnosi se sanaciju pješačkih staza u iznosu 34.875,34 €, obnovu svlačionica NK Negoslavci u iznosu 24.112,53 €, ulaganja na Etno kući u iznosu 2.300,00€, uređenje groblja 11.635,63 €.</w:t>
      </w:r>
    </w:p>
    <w:tbl>
      <w:tblPr>
        <w:tblW w:w="10776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0"/>
        <w:gridCol w:w="5365"/>
        <w:gridCol w:w="1272"/>
        <w:gridCol w:w="1276"/>
        <w:gridCol w:w="1423"/>
      </w:tblGrid>
      <w:tr>
        <w:trPr>
          <w:trHeight w:val="225" w:hRule="atLeast"/>
        </w:trPr>
        <w:tc>
          <w:tcPr>
            <w:tcW w:w="6805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2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5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2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423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3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1005</w:t>
            </w:r>
          </w:p>
        </w:tc>
        <w:tc>
          <w:tcPr>
            <w:tcW w:w="5365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ODRŽAVANJE OBJEKATA I UREĐENJE KOMUNALNE INFRASTRUKTURE</w:t>
            </w:r>
          </w:p>
        </w:tc>
        <w:tc>
          <w:tcPr>
            <w:tcW w:w="1272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383.043,77</w:t>
            </w:r>
          </w:p>
        </w:tc>
        <w:tc>
          <w:tcPr>
            <w:tcW w:w="1276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</w:t>
            </w:r>
            <w:r>
              <w:rPr>
                <w:b/>
                <w:bCs/>
                <w:sz w:val="16"/>
                <w:szCs w:val="16"/>
              </w:rPr>
              <w:t>107.001,10</w:t>
            </w:r>
          </w:p>
        </w:tc>
        <w:tc>
          <w:tcPr>
            <w:tcW w:w="1423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27,93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K1005 01</w:t>
            </w:r>
          </w:p>
        </w:tc>
        <w:tc>
          <w:tcPr>
            <w:tcW w:w="5365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Održavanje komunalne infrastrukture</w:t>
            </w:r>
          </w:p>
        </w:tc>
        <w:tc>
          <w:tcPr>
            <w:tcW w:w="1272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340.043,77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72.923,50</w:t>
            </w:r>
          </w:p>
        </w:tc>
        <w:tc>
          <w:tcPr>
            <w:tcW w:w="1423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21,45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K1005 02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A1005 01</w:t>
            </w:r>
          </w:p>
        </w:tc>
        <w:tc>
          <w:tcPr>
            <w:tcW w:w="5365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Obnova centra općine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Održavanje javne rasvjete</w:t>
            </w:r>
          </w:p>
        </w:tc>
        <w:tc>
          <w:tcPr>
            <w:tcW w:w="1272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35.000,00</w:t>
            </w:r>
          </w:p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32,241,69</w:t>
            </w:r>
          </w:p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835,91</w:t>
            </w:r>
          </w:p>
        </w:tc>
        <w:tc>
          <w:tcPr>
            <w:tcW w:w="1423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92,34</w:t>
            </w:r>
          </w:p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</w:t>
            </w:r>
          </w:p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ind w:left="709" w:hanging="425"/>
        <w:jc w:val="both"/>
        <w:rPr/>
      </w:pPr>
      <w:r>
        <w:rPr/>
        <w:tab/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  <w:t>CILJ PROGRAMA</w:t>
      </w:r>
    </w:p>
    <w:p>
      <w:pPr>
        <w:pStyle w:val="Normal"/>
        <w:ind w:left="426" w:hanging="0"/>
        <w:jc w:val="both"/>
        <w:rPr/>
      </w:pPr>
      <w:r>
        <w:rPr/>
        <w:t>Najvećim dijelom se cilj ostvaruje zacrtanom dinamikom, a to je osigurati visoku kvalitetu javne infrastrukture te dostatnost komunalnih i ostalih djelatnosti od općeg interesa.</w:t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  <w:t>POKAZATELJ USPJEŠNOSTI</w:t>
      </w:r>
    </w:p>
    <w:tbl>
      <w:tblPr>
        <w:tblW w:w="10679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1"/>
        <w:gridCol w:w="2649"/>
        <w:gridCol w:w="1597"/>
        <w:gridCol w:w="1575"/>
        <w:gridCol w:w="1597"/>
      </w:tblGrid>
      <w:tr>
        <w:trPr>
          <w:trHeight w:val="42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Aktivnost/ projekt</w:t>
            </w:r>
          </w:p>
        </w:tc>
        <w:tc>
          <w:tcPr>
            <w:tcW w:w="2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Ciljna vrijednost 2024.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300" w:hRule="atLeast"/>
        </w:trPr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100501 uređenje groblja</w:t>
            </w:r>
          </w:p>
        </w:tc>
        <w:tc>
          <w:tcPr>
            <w:tcW w:w="264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 xml:space="preserve">Postotak 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90%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100%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3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K100501 Sanacija pješačkih staza</w:t>
            </w:r>
          </w:p>
        </w:tc>
        <w:tc>
          <w:tcPr>
            <w:tcW w:w="264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32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4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 xml:space="preserve">m nogostupa </w:t>
            </w:r>
            <w:r>
              <w:rPr>
                <w:color w:val="000000"/>
                <w:sz w:val="16"/>
                <w:szCs w:val="16"/>
                <w:shd w:fill="auto" w:val="clear"/>
              </w:rPr>
              <w:t>sanirano</w:t>
            </w:r>
            <w:r>
              <w:rPr>
                <w:color w:val="000000"/>
                <w:sz w:val="16"/>
                <w:szCs w:val="16"/>
                <w:shd w:fill="auto" w:val="clear"/>
              </w:rPr>
              <w:t xml:space="preserve"> 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3</w:t>
            </w:r>
            <w:r>
              <w:rPr>
                <w:color w:val="000000"/>
                <w:sz w:val="16"/>
                <w:szCs w:val="16"/>
                <w:shd w:fill="auto" w:val="clear"/>
              </w:rPr>
              <w:t>90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390</w:t>
            </w:r>
          </w:p>
        </w:tc>
      </w:tr>
    </w:tbl>
    <w:p>
      <w:pPr>
        <w:pStyle w:val="Normal"/>
        <w:ind w:hanging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left="709" w:hanging="425"/>
        <w:jc w:val="both"/>
        <w:rPr>
          <w:szCs w:val="20"/>
        </w:rPr>
      </w:pPr>
      <w:r>
        <w:rPr>
          <w:szCs w:val="20"/>
        </w:rPr>
        <w:t xml:space="preserve">e) Program: Program javnih potreba u socijalnoj skrbi općine Negoslavci - Ova aktivnost realizirana je u iznosu 32.186,45 €, a odnose se na </w:t>
      </w:r>
      <w:r>
        <w:rPr/>
        <w:t xml:space="preserve">rashode za  jednokratne pomoći u iznosu 7.775,00 €, za pomoći stanovanja u novcu 919.14 €, jednokratne pomoći umirovljenicima u iznosu 12.350,00 €, sufinanciranje prijevoza stanovništva u iznosu 9.795,08 €, paketi za potrebite u iznosu 47,23 €, </w:t>
      </w:r>
      <w:r>
        <w:rPr>
          <w:szCs w:val="20"/>
        </w:rPr>
        <w:t>te prijenos sredstava Hrvatskom crvenom križu u iznosu 1.300,00 €.</w:t>
      </w:r>
    </w:p>
    <w:p>
      <w:pPr>
        <w:pStyle w:val="Normal"/>
        <w:ind w:left="284" w:hanging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left="284" w:hanging="0"/>
        <w:jc w:val="both"/>
        <w:rPr>
          <w:szCs w:val="20"/>
        </w:rPr>
      </w:pPr>
      <w:r>
        <w:rPr>
          <w:szCs w:val="20"/>
        </w:rPr>
      </w:r>
    </w:p>
    <w:tbl>
      <w:tblPr>
        <w:tblW w:w="10632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0"/>
        <w:gridCol w:w="5429"/>
        <w:gridCol w:w="4"/>
        <w:gridCol w:w="1207"/>
        <w:gridCol w:w="1276"/>
        <w:gridCol w:w="1276"/>
      </w:tblGrid>
      <w:tr>
        <w:trPr>
          <w:trHeight w:val="225" w:hRule="atLeast"/>
        </w:trPr>
        <w:tc>
          <w:tcPr>
            <w:tcW w:w="6869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11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433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07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69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1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1007</w:t>
            </w:r>
          </w:p>
        </w:tc>
        <w:tc>
          <w:tcPr>
            <w:tcW w:w="5433" w:type="dxa"/>
            <w:gridSpan w:val="2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PROGRAM JAVNIH POTREBA U SOCIJALNOJ SKRBI</w:t>
            </w:r>
          </w:p>
        </w:tc>
        <w:tc>
          <w:tcPr>
            <w:tcW w:w="1207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44.350,00</w:t>
            </w:r>
          </w:p>
        </w:tc>
        <w:tc>
          <w:tcPr>
            <w:tcW w:w="1276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32.186,45</w:t>
            </w:r>
          </w:p>
        </w:tc>
        <w:tc>
          <w:tcPr>
            <w:tcW w:w="1276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72,57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A1007 01</w:t>
            </w:r>
          </w:p>
        </w:tc>
        <w:tc>
          <w:tcPr>
            <w:tcW w:w="5433" w:type="dxa"/>
            <w:gridSpan w:val="2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Pomoć u novcu pojedincima i kućanstvima</w:t>
            </w:r>
          </w:p>
        </w:tc>
        <w:tc>
          <w:tcPr>
            <w:tcW w:w="1207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39.000,00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30.886,45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79,20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A1007 02</w:t>
            </w:r>
          </w:p>
        </w:tc>
        <w:tc>
          <w:tcPr>
            <w:tcW w:w="5433" w:type="dxa"/>
            <w:gridSpan w:val="2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Pomoć u novcu pojedincima i kućanstvima đaci/paketići</w:t>
            </w:r>
          </w:p>
        </w:tc>
        <w:tc>
          <w:tcPr>
            <w:tcW w:w="1207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3.850,00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A1007 03</w:t>
            </w:r>
          </w:p>
        </w:tc>
        <w:tc>
          <w:tcPr>
            <w:tcW w:w="5433" w:type="dxa"/>
            <w:gridSpan w:val="2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Crveni križ</w:t>
            </w:r>
          </w:p>
        </w:tc>
        <w:tc>
          <w:tcPr>
            <w:tcW w:w="1207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86,67</w:t>
            </w:r>
          </w:p>
        </w:tc>
      </w:tr>
    </w:tbl>
    <w:p>
      <w:pPr>
        <w:pStyle w:val="Normal"/>
        <w:ind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  <w:t>CILJ PROGRAMA</w:t>
      </w:r>
    </w:p>
    <w:p>
      <w:pPr>
        <w:pStyle w:val="Normal"/>
        <w:ind w:left="426" w:hanging="0"/>
        <w:jc w:val="both"/>
        <w:rPr/>
      </w:pPr>
      <w:r>
        <w:rPr/>
        <w:t>Najvećim dijelom realizacijom programa se ostvaruju i ciljevi programa, odnosno programom se nastoji omogućiti kvalitetan, zdrav i aktivan život stanovnicima Općine. Uz navedeno ovim programom  cilj je skrbiti o svim stanovnicima Općine koji su u potrebi.</w:t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  <w:t>POKAZATELJ USPJEŠNOSTI</w:t>
      </w:r>
    </w:p>
    <w:tbl>
      <w:tblPr>
        <w:tblW w:w="1063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8"/>
        <w:gridCol w:w="2693"/>
        <w:gridCol w:w="1560"/>
        <w:gridCol w:w="1562"/>
        <w:gridCol w:w="1559"/>
      </w:tblGrid>
      <w:tr>
        <w:trPr>
          <w:trHeight w:val="840" w:hRule="atLeast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Aktivnost/ projekt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Ciljna vrijednost 2024.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10" w:hRule="atLeast"/>
        </w:trPr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A100110 Dodjela subvencija, pomoći i donacija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Broj odluka o jednokratnoj novčanoj pomoći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72</w:t>
            </w:r>
          </w:p>
        </w:tc>
      </w:tr>
      <w:tr>
        <w:trPr>
          <w:trHeight w:val="765" w:hRule="atLeast"/>
        </w:trPr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cs="Calibri" w:ascii="Calibri" w:hAnsi="Calibri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Broj ugovora o dodijeljenim potpora umirovljenici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</w:p>
        </w:tc>
      </w:tr>
    </w:tbl>
    <w:p>
      <w:pPr>
        <w:pStyle w:val="Normal"/>
        <w:ind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425"/>
        <w:jc w:val="both"/>
        <w:rPr>
          <w:szCs w:val="20"/>
        </w:rPr>
      </w:pPr>
      <w:r>
        <w:rPr>
          <w:b/>
          <w:bCs/>
        </w:rPr>
        <w:t xml:space="preserve">f) Program javnih potreba u kulturi </w:t>
      </w:r>
      <w:r>
        <w:rPr>
          <w:szCs w:val="20"/>
        </w:rPr>
        <w:t>- Ova aktivnost realizirana je u iznosu 44.905,06 €, a odnosi se na tekuće donacije vjerskim zajednicama u iznosu 700,00 €, tekuće donacije kulturno umjetničkim društvima 3.750,00 €, održavanje kulturnih manifestacija u iznosu 4.300,00 €, donacije udrugama u kulturi u iznosu 30.855,06 €, te za bibliobus u iznosu 1.150,00 €</w:t>
      </w:r>
    </w:p>
    <w:tbl>
      <w:tblPr>
        <w:tblW w:w="10632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0"/>
        <w:gridCol w:w="5429"/>
        <w:gridCol w:w="4"/>
        <w:gridCol w:w="1207"/>
        <w:gridCol w:w="1276"/>
        <w:gridCol w:w="1276"/>
      </w:tblGrid>
      <w:tr>
        <w:trPr>
          <w:trHeight w:val="225" w:hRule="atLeast"/>
        </w:trPr>
        <w:tc>
          <w:tcPr>
            <w:tcW w:w="6869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11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433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07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69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1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5433" w:type="dxa"/>
            <w:gridSpan w:val="2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PROGRAM JAVNIH POTREBA U KULTURI</w:t>
            </w:r>
          </w:p>
        </w:tc>
        <w:tc>
          <w:tcPr>
            <w:tcW w:w="1207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64.465,00</w:t>
            </w:r>
          </w:p>
        </w:tc>
        <w:tc>
          <w:tcPr>
            <w:tcW w:w="1276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44.905,06</w:t>
            </w:r>
          </w:p>
        </w:tc>
        <w:tc>
          <w:tcPr>
            <w:tcW w:w="1276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69,66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A1008 01</w:t>
            </w:r>
          </w:p>
        </w:tc>
        <w:tc>
          <w:tcPr>
            <w:tcW w:w="5433" w:type="dxa"/>
            <w:gridSpan w:val="2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Vjerske zajednice – pomoć u radu</w:t>
            </w:r>
          </w:p>
        </w:tc>
        <w:tc>
          <w:tcPr>
            <w:tcW w:w="1207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13.400,00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A1008 02</w:t>
            </w:r>
          </w:p>
        </w:tc>
        <w:tc>
          <w:tcPr>
            <w:tcW w:w="5433" w:type="dxa"/>
            <w:gridSpan w:val="2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Djelatnost kulturno-umjetničkih društava</w:t>
            </w:r>
          </w:p>
        </w:tc>
        <w:tc>
          <w:tcPr>
            <w:tcW w:w="1207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3.750,00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A1008 03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A1008 04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A1008 05</w:t>
            </w:r>
          </w:p>
        </w:tc>
        <w:tc>
          <w:tcPr>
            <w:tcW w:w="5433" w:type="dxa"/>
            <w:gridSpan w:val="2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Kulturne manifestacije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Zajedničko vijeće općina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Udruge</w:t>
            </w:r>
          </w:p>
        </w:tc>
        <w:tc>
          <w:tcPr>
            <w:tcW w:w="1207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5.000,00</w:t>
            </w:r>
          </w:p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5.300,00</w:t>
            </w:r>
          </w:p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35.765,00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4.300,00</w:t>
            </w:r>
          </w:p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5.300,00</w:t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30.855,06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86,00</w:t>
            </w:r>
          </w:p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86,27</w:t>
            </w:r>
          </w:p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  <w:t>POKAZATELJ USPJEŠNOSTI</w:t>
      </w:r>
    </w:p>
    <w:tbl>
      <w:tblPr>
        <w:tblW w:w="1063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8"/>
        <w:gridCol w:w="2693"/>
        <w:gridCol w:w="1560"/>
        <w:gridCol w:w="1562"/>
        <w:gridCol w:w="1559"/>
      </w:tblGrid>
      <w:tr>
        <w:trPr>
          <w:trHeight w:val="840" w:hRule="atLeast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Aktivnost/ projekt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Ciljna vrijednost 2024.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10" w:hRule="atLeast"/>
        </w:trPr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K100120 Razvoj udruga u kulturi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ugovora za potpore udruga u kulturi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>
      <w:pPr>
        <w:pStyle w:val="Normal"/>
        <w:ind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6" w:hanging="0"/>
        <w:jc w:val="both"/>
        <w:rPr>
          <w:szCs w:val="20"/>
        </w:rPr>
      </w:pPr>
      <w:r>
        <w:rPr>
          <w:b/>
          <w:bCs/>
        </w:rPr>
        <w:t>g)</w:t>
      </w:r>
      <w:r>
        <w:rPr>
          <w:b/>
          <w:bCs/>
          <w:szCs w:val="20"/>
        </w:rPr>
        <w:tab/>
        <w:t>Demografske mjere Općine Negoslavci</w:t>
      </w:r>
      <w:r>
        <w:rPr>
          <w:szCs w:val="20"/>
        </w:rPr>
        <w:t xml:space="preserve"> - Ova aktivnost realizirana je u iznosu 10.880,04 €, a odnosi se na donacije rodiljama za novorođenčad u iznosu 4.200,00 €, dodjela stipendija i školarina u iznosu 3.000,00 € te naknade za pomoć poduzetnicima na području Općine u iznosu 3.680,04 €.</w:t>
      </w:r>
    </w:p>
    <w:tbl>
      <w:tblPr>
        <w:tblW w:w="10632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0"/>
        <w:gridCol w:w="5429"/>
        <w:gridCol w:w="4"/>
        <w:gridCol w:w="1207"/>
        <w:gridCol w:w="1276"/>
        <w:gridCol w:w="1276"/>
      </w:tblGrid>
      <w:tr>
        <w:trPr>
          <w:trHeight w:val="225" w:hRule="atLeast"/>
        </w:trPr>
        <w:tc>
          <w:tcPr>
            <w:tcW w:w="6869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11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433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07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69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1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1010</w:t>
            </w:r>
          </w:p>
        </w:tc>
        <w:tc>
          <w:tcPr>
            <w:tcW w:w="5433" w:type="dxa"/>
            <w:gridSpan w:val="2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DEMOGRAFSKE MJERE OPĆINE NEGOSLAVCI</w:t>
            </w:r>
          </w:p>
        </w:tc>
        <w:tc>
          <w:tcPr>
            <w:tcW w:w="1207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276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10.880,04</w:t>
            </w:r>
          </w:p>
        </w:tc>
        <w:tc>
          <w:tcPr>
            <w:tcW w:w="1276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36,27</w:t>
            </w:r>
          </w:p>
        </w:tc>
      </w:tr>
      <w:tr>
        <w:trPr>
          <w:trHeight w:val="225" w:hRule="atLeast"/>
        </w:trPr>
        <w:tc>
          <w:tcPr>
            <w:tcW w:w="144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A1010 01</w:t>
            </w:r>
          </w:p>
        </w:tc>
        <w:tc>
          <w:tcPr>
            <w:tcW w:w="5433" w:type="dxa"/>
            <w:gridSpan w:val="2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Demografske mjere Općine Negoslavci</w:t>
            </w:r>
          </w:p>
        </w:tc>
        <w:tc>
          <w:tcPr>
            <w:tcW w:w="1207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30.000,00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10.880,04</w:t>
            </w:r>
          </w:p>
        </w:tc>
        <w:tc>
          <w:tcPr>
            <w:tcW w:w="1276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36,27</w:t>
            </w:r>
          </w:p>
        </w:tc>
      </w:tr>
    </w:tbl>
    <w:p>
      <w:pPr>
        <w:pStyle w:val="Normal"/>
        <w:ind w:left="426" w:hanging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hanging="0"/>
        <w:jc w:val="both"/>
        <w:rPr>
          <w:szCs w:val="20"/>
        </w:rPr>
      </w:pPr>
      <w:r>
        <w:rPr>
          <w:b/>
          <w:bCs/>
        </w:rPr>
        <w:t>POKAZATELJ USPJEŠNOSTI</w:t>
      </w:r>
    </w:p>
    <w:tbl>
      <w:tblPr>
        <w:tblW w:w="1063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8"/>
        <w:gridCol w:w="2693"/>
        <w:gridCol w:w="1560"/>
        <w:gridCol w:w="1562"/>
        <w:gridCol w:w="1559"/>
      </w:tblGrid>
      <w:tr>
        <w:trPr>
          <w:trHeight w:val="840" w:hRule="atLeast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Aktivnost/ projekt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Ciljna vrijednost 2024.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52" w:hRule="atLeast"/>
        </w:trPr>
        <w:tc>
          <w:tcPr>
            <w:tcW w:w="3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1010 01 Stipendije i školarine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Broj jednokratnih potpora za studente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</w:p>
        </w:tc>
      </w:tr>
      <w:tr>
        <w:trPr>
          <w:trHeight w:val="315" w:hRule="atLeast"/>
        </w:trPr>
        <w:tc>
          <w:tcPr>
            <w:tcW w:w="32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Broj jednokratnih potpora za učenike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1010 01 Pomoć za novorođeno dijete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Broj odluka o jednokratnoj novčanoj pomoći za novorođenčad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10" w:hRule="atLeast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1010 01 Naknada za pomoć poduzetnicima na području Općine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Broj odluka o novčanoj pomoći poduzetnicima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ind w:hanging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left="709" w:hanging="425"/>
        <w:jc w:val="both"/>
        <w:rPr>
          <w:shd w:fill="FFFFFF" w:val="clear"/>
        </w:rPr>
      </w:pPr>
      <w:r>
        <w:rPr>
          <w:szCs w:val="20"/>
        </w:rPr>
        <w:tab/>
      </w:r>
      <w:r>
        <w:rPr>
          <w:b/>
          <w:bCs/>
          <w:szCs w:val="20"/>
        </w:rPr>
        <w:t>Program „Zaželi IV</w:t>
      </w:r>
      <w:r>
        <w:rPr>
          <w:szCs w:val="20"/>
        </w:rPr>
        <w:t xml:space="preserve">“- </w:t>
      </w:r>
      <w:r>
        <w:rPr/>
        <w:t xml:space="preserve">Ovo je projekt koji se financira iz Europskog socijalnog fonda plus 2021-2027. Projekt je započeo 15.12.2023. </w:t>
      </w:r>
      <w:r>
        <w:rPr>
          <w:shd w:fill="FFFFFF" w:val="clear"/>
        </w:rPr>
        <w:t>godine i traje 36 mjesec. U</w:t>
      </w:r>
      <w:r>
        <w:rPr>
          <w:rStyle w:val="Strong"/>
          <w:b w:val="false"/>
          <w:bCs w:val="false"/>
          <w:shd w:fill="FFFFFF" w:val="clear"/>
        </w:rPr>
        <w:t xml:space="preserve">kupna </w:t>
      </w:r>
      <w:r>
        <w:rPr>
          <w:rStyle w:val="Strong"/>
          <w:shd w:fill="FFFFFF" w:val="clear"/>
        </w:rPr>
        <w:t>v</w:t>
      </w:r>
      <w:r>
        <w:rPr>
          <w:shd w:fill="FFFFFF" w:val="clear"/>
        </w:rPr>
        <w:t xml:space="preserve">rijednost projekta iznosi 855.000,00 </w:t>
      </w:r>
      <w:r>
        <w:rPr>
          <w:sz w:val="22"/>
          <w:szCs w:val="22"/>
        </w:rPr>
        <w:t>€</w:t>
      </w:r>
      <w:r>
        <w:rPr>
          <w:shd w:fill="FFFFFF" w:val="clear"/>
        </w:rPr>
        <w:t xml:space="preserve">, a na njemu je zaposleno 19 osoba koje se skrbe o 114 krajnjih korisnika, te voditelj i asistent projekta. U 2024. godini realizirano je ukupno 220.126,80 € rashoda. Najvećim dijelom rashodi se odnose na zaposlene na projektu. </w:t>
      </w:r>
    </w:p>
    <w:tbl>
      <w:tblPr>
        <w:tblW w:w="10348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2"/>
        <w:gridCol w:w="5360"/>
        <w:gridCol w:w="1275"/>
        <w:gridCol w:w="1134"/>
        <w:gridCol w:w="1137"/>
      </w:tblGrid>
      <w:tr>
        <w:trPr>
          <w:trHeight w:val="225" w:hRule="atLeast"/>
        </w:trPr>
        <w:tc>
          <w:tcPr>
            <w:tcW w:w="6802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5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442" w:type="dxa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0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5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134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137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2" w:type="dxa"/>
            <w:gridSpan w:val="2"/>
            <w:tcBorders/>
            <w:shd w:color="000000" w:fill="969696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7" w:type="dxa"/>
            <w:tcBorders/>
            <w:shd w:color="000000" w:fill="969696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42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1011</w:t>
            </w:r>
          </w:p>
        </w:tc>
        <w:tc>
          <w:tcPr>
            <w:tcW w:w="5360" w:type="dxa"/>
            <w:tcBorders/>
            <w:shd w:color="000000" w:fill="BFBFB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DRUŠTVENE DJELATNOSTI</w:t>
            </w:r>
          </w:p>
        </w:tc>
        <w:tc>
          <w:tcPr>
            <w:tcW w:w="1275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302.500,00</w:t>
            </w:r>
          </w:p>
        </w:tc>
        <w:tc>
          <w:tcPr>
            <w:tcW w:w="1134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204.061,48</w:t>
            </w:r>
          </w:p>
        </w:tc>
        <w:tc>
          <w:tcPr>
            <w:tcW w:w="1137" w:type="dxa"/>
            <w:tcBorders/>
            <w:shd w:color="000000" w:fill="BFBFBF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67,46</w:t>
            </w:r>
          </w:p>
        </w:tc>
      </w:tr>
      <w:tr>
        <w:trPr>
          <w:trHeight w:val="225" w:hRule="atLeast"/>
        </w:trPr>
        <w:tc>
          <w:tcPr>
            <w:tcW w:w="1442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A1011 01</w:t>
            </w:r>
          </w:p>
        </w:tc>
        <w:tc>
          <w:tcPr>
            <w:tcW w:w="5360" w:type="dxa"/>
            <w:tcBorders/>
            <w:shd w:color="000000" w:fill="F2F2F2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"Zaželi IV"- program u kući osobama starije životne dobi</w:t>
            </w:r>
          </w:p>
        </w:tc>
        <w:tc>
          <w:tcPr>
            <w:tcW w:w="1275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302.500,00</w:t>
            </w:r>
          </w:p>
        </w:tc>
        <w:tc>
          <w:tcPr>
            <w:tcW w:w="1134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204.061,48</w:t>
            </w:r>
          </w:p>
        </w:tc>
        <w:tc>
          <w:tcPr>
            <w:tcW w:w="1137" w:type="dxa"/>
            <w:tcBorders/>
            <w:shd w:color="000000" w:fill="F2F2F2" w:val="clea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67,46</w:t>
            </w:r>
          </w:p>
        </w:tc>
      </w:tr>
    </w:tbl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720" w:right="393" w:hanging="0"/>
        <w:contextualSpacing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left="426" w:hanging="0"/>
        <w:jc w:val="both"/>
        <w:rPr/>
      </w:pPr>
      <w:r>
        <w:rPr>
          <w:b/>
          <w:bCs/>
        </w:rPr>
        <w:t>CILJ PROGRAMA</w:t>
      </w:r>
      <w:r>
        <w:rPr/>
        <w:t xml:space="preserve"> je pružanje pomoći i podrške starijim osobama te osobama sa invaliditetom kako bi mogli što duže biti samostalno u svom vlastitom domu. Program je usmjeren na smanjenje socijalne isključenosti i prevenciju institucionalizacije korisnika. Uz to program potiče razvoj socijalnih usluga  u lokalnim zajednicama, posebno u ruralnim i slabije razvijenim područjima gdje je pomoć često manje dostupna.</w:t>
      </w:r>
    </w:p>
    <w:p>
      <w:pPr>
        <w:pStyle w:val="Normal"/>
        <w:ind w:left="426" w:hanging="0"/>
        <w:jc w:val="both"/>
        <w:rPr>
          <w:b/>
          <w:b/>
          <w:bCs/>
          <w:color w:val="EE0000"/>
        </w:rPr>
      </w:pPr>
      <w:r>
        <w:rPr>
          <w:b/>
          <w:bCs/>
          <w:color w:val="EE0000"/>
        </w:rPr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</w:rPr>
        <w:t>POKAZATELJ USPJEŠNOSTI</w:t>
      </w:r>
    </w:p>
    <w:tbl>
      <w:tblPr>
        <w:tblW w:w="1063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8"/>
        <w:gridCol w:w="2693"/>
        <w:gridCol w:w="1560"/>
        <w:gridCol w:w="1562"/>
        <w:gridCol w:w="1559"/>
      </w:tblGrid>
      <w:tr>
        <w:trPr>
          <w:trHeight w:val="840" w:hRule="atLeast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Aktivnost/ projekt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Ciljna vrijednost 2024.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10" w:hRule="atLeast"/>
        </w:trPr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A10011 01 Zaželi IV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</w:tr>
    </w:tbl>
    <w:p>
      <w:pPr>
        <w:pStyle w:val="Normal"/>
        <w:ind w:hanging="0"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3"/>
        </w:numPr>
        <w:spacing w:before="12" w:after="0"/>
        <w:ind w:left="0" w:right="1" w:hanging="502"/>
        <w:contextualSpacing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POSEBNI IZVJEŠTAJI U GODIŠNJEM IZVJEŠTAJU O IZVRŠENJU PRORAČUNA</w:t>
      </w:r>
    </w:p>
    <w:p>
      <w:pPr>
        <w:pStyle w:val="Normal"/>
        <w:widowControl w:val="false"/>
        <w:spacing w:before="12" w:after="0"/>
        <w:ind w:right="393" w:hanging="0"/>
        <w:jc w:val="both"/>
        <w:rPr/>
      </w:pPr>
      <w:r>
        <w:rPr/>
        <w:t>Posebni izvještaji u godišnjem izvještaju o izvršenju proračuna sadrže</w:t>
      </w:r>
    </w:p>
    <w:p>
      <w:pPr>
        <w:pStyle w:val="ListParagraph"/>
        <w:widowControl w:val="false"/>
        <w:numPr>
          <w:ilvl w:val="0"/>
          <w:numId w:val="5"/>
        </w:numPr>
        <w:spacing w:before="12" w:after="0"/>
        <w:ind w:left="142" w:right="393" w:hanging="284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Izvještaj o korištenju proračunske zalihe</w:t>
      </w:r>
    </w:p>
    <w:p>
      <w:pPr>
        <w:pStyle w:val="ListParagraph"/>
        <w:widowControl w:val="false"/>
        <w:spacing w:before="12" w:after="0"/>
        <w:ind w:left="142" w:right="393" w:hanging="0"/>
        <w:contextualSpacing/>
        <w:jc w:val="both"/>
        <w:rPr/>
      </w:pPr>
      <w:r>
        <w:rPr/>
        <w:t xml:space="preserve">U Proračunu Općine Negoslavci za 2024. g. nije planirana proračunska zaliha. 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spacing w:before="12" w:after="0"/>
        <w:ind w:left="142" w:right="393" w:hanging="284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Izvještaj o zaduživanju na domaćem i stranom tržištu novca i kapitala</w:t>
      </w:r>
    </w:p>
    <w:p>
      <w:pPr>
        <w:pStyle w:val="ListParagraph"/>
        <w:widowControl w:val="false"/>
        <w:numPr>
          <w:ilvl w:val="0"/>
          <w:numId w:val="2"/>
        </w:numPr>
        <w:spacing w:before="12" w:after="0"/>
        <w:ind w:left="426" w:right="393" w:hanging="360"/>
        <w:contextualSpacing/>
        <w:jc w:val="both"/>
        <w:rPr/>
      </w:pPr>
      <w:r>
        <w:rPr/>
        <w:t xml:space="preserve">Općina Negoslavci se u 2024. godini nije zaduživala. 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spacing w:before="12" w:after="0"/>
        <w:ind w:left="142" w:right="393" w:hanging="284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Izvještaj o danim jamstvima i plaćanjima po protestiranim jamstvima</w:t>
      </w:r>
    </w:p>
    <w:p>
      <w:pPr>
        <w:pStyle w:val="Normal"/>
        <w:ind w:firstLine="142"/>
        <w:rPr/>
      </w:pPr>
      <w:r>
        <w:rPr/>
        <w:t>Općina Negoslavci nema danih jamstava niti izdataka po istim.</w:t>
      </w:r>
    </w:p>
    <w:p>
      <w:pPr>
        <w:pStyle w:val="ListParagraph"/>
        <w:widowControl w:val="false"/>
        <w:numPr>
          <w:ilvl w:val="0"/>
          <w:numId w:val="5"/>
        </w:numPr>
        <w:spacing w:before="12" w:after="0"/>
        <w:ind w:left="142" w:right="393" w:hanging="284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Izvještaj o korištenju sredstava EU</w:t>
      </w:r>
    </w:p>
    <w:tbl>
      <w:tblPr>
        <w:tblW w:w="96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0"/>
        <w:gridCol w:w="2863"/>
        <w:gridCol w:w="1220"/>
        <w:gridCol w:w="1180"/>
        <w:gridCol w:w="1840"/>
        <w:gridCol w:w="1840"/>
      </w:tblGrid>
      <w:tr>
        <w:trPr>
          <w:trHeight w:val="900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RED. BR. 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 FONDA EU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PRIHODI U 2024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U 2024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STANJE POTRAŽIVANJA PO SREDSTVIMA IZ FONDOVA EU 31.12.2024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STANJE OBVEZA PO SREDSTVIMA IZ FONDOVA EU 31.12.2024</w:t>
            </w:r>
          </w:p>
        </w:tc>
      </w:tr>
      <w:tr>
        <w:trPr>
          <w:trHeight w:val="288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863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Operativni program Učinkoviti ljudski potencijali 2014.-2020</w:t>
            </w: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170.054,34 € 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204.061,48 € </w:t>
            </w:r>
          </w:p>
        </w:tc>
        <w:tc>
          <w:tcPr>
            <w:tcW w:w="184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556.695,66 € </w:t>
            </w:r>
          </w:p>
        </w:tc>
        <w:tc>
          <w:tcPr>
            <w:tcW w:w="184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0,00 € </w:t>
            </w:r>
          </w:p>
        </w:tc>
      </w:tr>
    </w:tbl>
    <w:p>
      <w:pPr>
        <w:pStyle w:val="Normal"/>
        <w:widowControl w:val="false"/>
        <w:spacing w:before="12" w:after="0"/>
        <w:ind w:right="393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8"/>
        </w:numPr>
        <w:spacing w:before="12" w:after="0"/>
        <w:ind w:left="426" w:right="393" w:hanging="360"/>
        <w:contextualSpacing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PROJEKT: ZAŽELI IV „ZAŽELI“ </w:t>
      </w:r>
    </w:p>
    <w:tbl>
      <w:tblPr>
        <w:tblW w:w="97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8"/>
        <w:gridCol w:w="5965"/>
      </w:tblGrid>
      <w:tr>
        <w:trPr>
          <w:trHeight w:val="300" w:hRule="atLeast"/>
        </w:trPr>
        <w:tc>
          <w:tcPr>
            <w:tcW w:w="979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OPĆENITO O PROJEKTU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PROJEKTA:</w:t>
            </w:r>
          </w:p>
        </w:tc>
        <w:tc>
          <w:tcPr>
            <w:tcW w:w="5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Zaželi – Negoslavci - faza IV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IZ KOJEG SE SUFINANCIRA: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Učinkoviti ljudski potencijali 2021.-2027.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UGOVORNO TIJELO PT1: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Ministarstvo rada, mirovinskoga sustava, obitelji i socijalne politike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UGOVORNO TIJELO PT2: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 zavod za zapošljavanje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BROJČANA OZNAKA PROJEKTA: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SF.3.4.11.01.0132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Ukupna vrijednost projekta: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855.000,00 €</w:t>
            </w:r>
          </w:p>
        </w:tc>
      </w:tr>
      <w:tr>
        <w:trPr>
          <w:trHeight w:val="600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Sufinancirano iz: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Bespovratna sredstva osigurana su iz Državnog proračuna Republike Hrvatske (15%) i iz Europskog socijalnog fonda plus (85%)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Postotak sufinanciranja: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100,00%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Iznos vlastitih sredstava: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 kn/0,00 €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Postotak vlastitih sredstava: 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0,00%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ZAPOSLENIH NA PROJEKTU: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osoba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Trajanje projekta: </w:t>
            </w:r>
          </w:p>
        </w:tc>
        <w:tc>
          <w:tcPr>
            <w:tcW w:w="59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mjeseci 15.03.2024. – 15.03.2027.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 uplaćeno iz EU od početka provedbe projekta:</w:t>
            </w:r>
          </w:p>
        </w:tc>
        <w:tc>
          <w:tcPr>
            <w:tcW w:w="5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254.186,02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before="12" w:after="0"/>
        <w:ind w:right="393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5"/>
        </w:numPr>
        <w:spacing w:before="12" w:after="0"/>
        <w:ind w:left="142" w:right="393" w:hanging="284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Izvještaj o danim zajmovima i potraživanjima po danim zajmovima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142" w:right="393" w:hanging="0"/>
        <w:contextualSpacing/>
        <w:jc w:val="both"/>
        <w:rPr/>
      </w:pPr>
      <w:r>
        <w:rPr/>
        <w:t xml:space="preserve">Općina nema danih zajmova niti potraživanja po danim zajmovima 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spacing w:before="12" w:after="0"/>
        <w:ind w:left="142" w:right="393" w:hanging="284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Izvještaj o stanju potraživanja i dospjelih obveza te o stanju potencijalnih obveza po osnovi sudskih sporova</w:t>
      </w:r>
    </w:p>
    <w:p>
      <w:pPr>
        <w:pStyle w:val="Normal"/>
        <w:widowControl w:val="false"/>
        <w:spacing w:before="12" w:after="0"/>
        <w:ind w:left="142" w:right="393" w:hanging="0"/>
        <w:jc w:val="both"/>
        <w:rPr/>
      </w:pPr>
      <w:r>
        <w:rPr>
          <w:b/>
          <w:bCs/>
        </w:rPr>
        <w:t>Stanje dospjelih nenaplaćenih potraživanja</w:t>
      </w:r>
      <w:r>
        <w:rPr/>
        <w:t xml:space="preserve"> </w:t>
      </w:r>
      <w:r>
        <w:rPr>
          <w:b/>
          <w:bCs/>
        </w:rPr>
        <w:t>Općine na dan 31. prosinca 2024</w:t>
      </w:r>
      <w:r>
        <w:rPr/>
        <w:t>. godine.</w:t>
      </w:r>
    </w:p>
    <w:tbl>
      <w:tblPr>
        <w:tblW w:w="1022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97"/>
        <w:gridCol w:w="3100"/>
        <w:gridCol w:w="2023"/>
        <w:gridCol w:w="2017"/>
        <w:gridCol w:w="1783"/>
      </w:tblGrid>
      <w:tr>
        <w:trPr>
          <w:trHeight w:val="420" w:hRule="atLeast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3100" w:type="dxa"/>
            <w:tcBorders>
              <w:top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Proračun/ proračunski korisnik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Ukupna potraživanja</w:t>
            </w:r>
          </w:p>
        </w:tc>
        <w:tc>
          <w:tcPr>
            <w:tcW w:w="2017" w:type="dxa"/>
            <w:tcBorders>
              <w:top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Dospjela potraživanja</w:t>
            </w:r>
          </w:p>
        </w:tc>
        <w:tc>
          <w:tcPr>
            <w:tcW w:w="1783" w:type="dxa"/>
            <w:tcBorders>
              <w:top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Nedospjela potraživanja</w:t>
            </w:r>
          </w:p>
        </w:tc>
      </w:tr>
      <w:tr>
        <w:trPr>
          <w:trHeight w:val="225" w:hRule="atLeast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PRORAČUN</w:t>
            </w:r>
          </w:p>
        </w:tc>
        <w:tc>
          <w:tcPr>
            <w:tcW w:w="2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14.472,66</w:t>
            </w:r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14.472,66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>
      <w:pPr>
        <w:pStyle w:val="Normal"/>
        <w:widowControl w:val="false"/>
        <w:spacing w:before="12" w:after="0"/>
        <w:ind w:right="393" w:hanging="0"/>
        <w:jc w:val="both"/>
        <w:rPr/>
      </w:pPr>
      <w:r>
        <w:rPr/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142" w:right="393" w:hanging="0"/>
        <w:contextualSpacing/>
        <w:jc w:val="both"/>
        <w:rPr>
          <w:b/>
          <w:b/>
          <w:bCs/>
        </w:rPr>
      </w:pPr>
      <w:r>
        <w:rPr>
          <w:b/>
          <w:bCs/>
        </w:rPr>
        <w:t xml:space="preserve">Stanje  dospjelih obveza Općine Negoslavci  na dan 31. prosinca 2024. godine </w:t>
      </w:r>
    </w:p>
    <w:tbl>
      <w:tblPr>
        <w:tblW w:w="1022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97"/>
        <w:gridCol w:w="3100"/>
        <w:gridCol w:w="2023"/>
        <w:gridCol w:w="2017"/>
        <w:gridCol w:w="1783"/>
      </w:tblGrid>
      <w:tr>
        <w:trPr>
          <w:trHeight w:val="225" w:hRule="atLeast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3100" w:type="dxa"/>
            <w:tcBorders>
              <w:top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Proračun/ proračunski korisnik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Ukupne obveze</w:t>
            </w:r>
          </w:p>
        </w:tc>
        <w:tc>
          <w:tcPr>
            <w:tcW w:w="2017" w:type="dxa"/>
            <w:tcBorders>
              <w:top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Dospjele obveze</w:t>
            </w:r>
          </w:p>
        </w:tc>
        <w:tc>
          <w:tcPr>
            <w:tcW w:w="1783" w:type="dxa"/>
            <w:tcBorders>
              <w:top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Nedospjele obveze</w:t>
            </w:r>
          </w:p>
        </w:tc>
      </w:tr>
      <w:tr>
        <w:trPr>
          <w:trHeight w:val="225" w:hRule="atLeast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PRORAČUN</w:t>
            </w:r>
          </w:p>
        </w:tc>
        <w:tc>
          <w:tcPr>
            <w:tcW w:w="2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50.595,86</w:t>
            </w:r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50.595,86</w:t>
            </w:r>
          </w:p>
        </w:tc>
      </w:tr>
    </w:tbl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720" w:right="393" w:hanging="0"/>
        <w:contextualSpacing/>
        <w:jc w:val="both"/>
        <w:rPr/>
      </w:pPr>
      <w:r>
        <w:rPr/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142" w:right="393" w:hanging="0"/>
        <w:contextualSpacing/>
        <w:jc w:val="both"/>
        <w:rPr/>
      </w:pPr>
      <w:r>
        <w:rPr>
          <w:b/>
          <w:bCs/>
        </w:rPr>
        <w:t>Stanje potencijalnih obveza po osnovi sudskih postupaka Općine Negoslavci</w:t>
      </w:r>
      <w:r>
        <w:rPr/>
        <w:t xml:space="preserve"> na dan 31.12.2024. godine nema 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spacing w:before="12" w:after="0"/>
        <w:ind w:left="142" w:right="393" w:hanging="284"/>
        <w:contextualSpacing/>
        <w:jc w:val="both"/>
        <w:rPr>
          <w:b/>
          <w:b/>
          <w:bCs/>
        </w:rPr>
      </w:pPr>
      <w:r>
        <w:rPr>
          <w:b/>
          <w:bCs/>
        </w:rPr>
        <w:t xml:space="preserve">Izvještaj o izvršenim preraspodjelama proračunskih sredstava u Proračunu Općine Negoslavci za 2024. godinu 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142" w:right="393" w:hanging="0"/>
        <w:contextualSpacing/>
        <w:jc w:val="both"/>
        <w:rPr/>
      </w:pPr>
      <w:r>
        <w:rPr/>
        <w:t>Tijekom 2024. godine nije bilo preraspodjela sredstava u Proračunu Općine Negoslavci.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142" w:right="393" w:hanging="0"/>
        <w:contextualSpacing/>
        <w:jc w:val="both"/>
        <w:rPr/>
      </w:pPr>
      <w:r>
        <w:rPr/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142" w:right="393" w:hanging="0"/>
        <w:contextualSpacing/>
        <w:jc w:val="both"/>
        <w:rPr/>
      </w:pPr>
      <w:r>
        <w:rPr/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" w:after="0"/>
        <w:ind w:left="142" w:right="393" w:hanging="0"/>
        <w:contextualSpacing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8" w:right="709" w:gutter="0" w:header="0" w:top="1106" w:footer="266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angal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Podnoj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bullet"/>
      <w:lvlText w:val="-"/>
      <w:lvlJc w:val="left"/>
      <w:pPr>
        <w:tabs>
          <w:tab w:val="num" w:pos="0"/>
        </w:tabs>
        <w:ind w:left="-6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3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5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2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69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i w:val="false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0" w:hanging="57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578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3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9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98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5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5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18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6">
    <w:lvl w:ilvl="0">
      <w:numFmt w:val="decimal"/>
      <w:lvlText w:val="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upperRoman"/>
      <w:lvlText w:val="%1."/>
      <w:lvlJc w:val="left"/>
      <w:pPr>
        <w:tabs>
          <w:tab w:val="num" w:pos="0"/>
        </w:tabs>
        <w:ind w:left="153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  <w:rPr/>
    </w:lvl>
  </w:abstractNum>
  <w:abstractNum w:abstractNumId="20">
    <w:lvl w:ilvl="0">
      <w:start w:val="1"/>
      <w:numFmt w:val="upperRoman"/>
      <w:lvlText w:val="%1."/>
      <w:lvlJc w:val="left"/>
      <w:pPr>
        <w:tabs>
          <w:tab w:val="num" w:pos="0"/>
        </w:tabs>
        <w:ind w:left="153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17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8"/>
  </w:num>
  <w:num w:numId="31">
    <w:abstractNumId w:val="17"/>
  </w:num>
  <w:num w:numId="32">
    <w:abstractNumId w:val="21"/>
    <w:lvlOverride w:ilvl="0">
      <w:startOverride w:val="1"/>
    </w:lvlOverride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462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6153f8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uiPriority w:val="9"/>
    <w:qFormat/>
    <w:rsid w:val="006153f8"/>
    <w:rPr>
      <w:rFonts w:ascii="Cambria" w:hAnsi="Cambria" w:eastAsia="Times New Roman" w:cs="Times New Roman"/>
      <w:b/>
      <w:bCs/>
      <w:kern w:val="2"/>
      <w:sz w:val="32"/>
      <w:szCs w:val="32"/>
      <w:lang w:eastAsia="hr-HR"/>
    </w:rPr>
  </w:style>
  <w:style w:type="character" w:styleId="Strong">
    <w:name w:val="Strong"/>
    <w:uiPriority w:val="22"/>
    <w:qFormat/>
    <w:rsid w:val="003f78ff"/>
    <w:rPr>
      <w:b/>
      <w:bCs/>
    </w:rPr>
  </w:style>
  <w:style w:type="character" w:styleId="Internetskapoveznica">
    <w:name w:val="Hyperlink"/>
    <w:uiPriority w:val="99"/>
    <w:semiHidden/>
    <w:unhideWhenUsed/>
    <w:rsid w:val="006153f8"/>
    <w:rPr>
      <w:color w:val="0000FF"/>
      <w:u w:val="single"/>
    </w:rPr>
  </w:style>
  <w:style w:type="character" w:styleId="Posjeenainternetskapoveznica">
    <w:name w:val="FollowedHyperlink"/>
    <w:uiPriority w:val="99"/>
    <w:semiHidden/>
    <w:unhideWhenUsed/>
    <w:rsid w:val="006153f8"/>
    <w:rPr>
      <w:color w:val="800080"/>
      <w:u w:val="single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6153f8"/>
    <w:rPr>
      <w:rFonts w:ascii="Tahoma" w:hAnsi="Tahoma" w:eastAsia="Times New Roman" w:cs="Tahoma"/>
      <w:sz w:val="16"/>
      <w:szCs w:val="16"/>
      <w:lang w:eastAsia="hr-HR"/>
    </w:rPr>
  </w:style>
  <w:style w:type="character" w:styleId="ZaglavljeChar" w:customStyle="1">
    <w:name w:val="Zaglavlje Char"/>
    <w:basedOn w:val="DefaultParagraphFont"/>
    <w:uiPriority w:val="99"/>
    <w:qFormat/>
    <w:rsid w:val="006153f8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PodnojeChar" w:customStyle="1">
    <w:name w:val="Podnožje Char"/>
    <w:basedOn w:val="DefaultParagraphFont"/>
    <w:uiPriority w:val="99"/>
    <w:qFormat/>
    <w:rsid w:val="006153f8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TijelotekstaChar" w:customStyle="1">
    <w:name w:val="Tijelo teksta Char"/>
    <w:basedOn w:val="DefaultParagraphFont"/>
    <w:qFormat/>
    <w:rsid w:val="006153f8"/>
    <w:rPr>
      <w:rFonts w:ascii="Times New Roman" w:hAnsi="Times New Roman" w:eastAsia="Times New Roman" w:cs="Times New Roman"/>
      <w:sz w:val="24"/>
      <w:szCs w:val="20"/>
    </w:rPr>
  </w:style>
  <w:style w:type="character" w:styleId="UvuenotijelotekstaChar" w:customStyle="1">
    <w:name w:val="Uvučeno tijelo teksta Char"/>
    <w:basedOn w:val="DefaultParagraphFont"/>
    <w:uiPriority w:val="99"/>
    <w:semiHidden/>
    <w:qFormat/>
    <w:rsid w:val="006153f8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Annotationreference">
    <w:name w:val="annotation reference"/>
    <w:semiHidden/>
    <w:unhideWhenUsed/>
    <w:qFormat/>
    <w:rsid w:val="006153f8"/>
    <w:rPr>
      <w:sz w:val="16"/>
      <w:szCs w:val="16"/>
    </w:rPr>
  </w:style>
  <w:style w:type="character" w:styleId="TekstkomentaraChar" w:customStyle="1">
    <w:name w:val="Tekst komentara Char"/>
    <w:basedOn w:val="DefaultParagraphFont"/>
    <w:link w:val="Annotationtext"/>
    <w:qFormat/>
    <w:rsid w:val="006153f8"/>
    <w:rPr>
      <w:rFonts w:ascii="Times New Roman" w:hAnsi="Times New Roman" w:eastAsia="Times New Roman" w:cs="Times New Roman"/>
      <w:sz w:val="20"/>
      <w:szCs w:val="20"/>
      <w:lang w:eastAsia="hr-HR"/>
    </w:rPr>
  </w:style>
  <w:style w:type="character" w:styleId="PredmetkomentaraChar" w:customStyle="1">
    <w:name w:val="Predmet komentara Char"/>
    <w:basedOn w:val="TekstkomentaraChar"/>
    <w:link w:val="Annotationsubject"/>
    <w:uiPriority w:val="99"/>
    <w:semiHidden/>
    <w:qFormat/>
    <w:rsid w:val="006153f8"/>
    <w:rPr>
      <w:rFonts w:ascii="Times New Roman" w:hAnsi="Times New Roman" w:eastAsia="Times New Roman" w:cs="Times New Roman"/>
      <w:b/>
      <w:bCs/>
      <w:sz w:val="20"/>
      <w:szCs w:val="20"/>
      <w:lang w:eastAsia="hr-HR"/>
    </w:rPr>
  </w:style>
  <w:style w:type="character" w:styleId="TekstkrajnjebiljekeChar" w:customStyle="1">
    <w:name w:val="Tekst krajnje bilješke Char"/>
    <w:basedOn w:val="DefaultParagraphFont"/>
    <w:uiPriority w:val="99"/>
    <w:semiHidden/>
    <w:qFormat/>
    <w:rsid w:val="00f3580b"/>
    <w:rPr>
      <w:rFonts w:ascii="Times New Roman" w:hAnsi="Times New Roman" w:eastAsia="Times New Roman" w:cs="Times New Roman"/>
      <w:sz w:val="20"/>
      <w:szCs w:val="20"/>
      <w:lang w:eastAsia="hr-HR"/>
    </w:rPr>
  </w:style>
  <w:style w:type="character" w:styleId="Sidrozavrnebiljek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3580b"/>
    <w:rPr>
      <w:vertAlign w:val="superscript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6153f8"/>
    <w:pPr/>
    <w:rPr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6153f8"/>
    <w:pPr/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6153f8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dnoje">
    <w:name w:val="Footer"/>
    <w:basedOn w:val="Normal"/>
    <w:link w:val="PodnojeChar"/>
    <w:uiPriority w:val="99"/>
    <w:unhideWhenUsed/>
    <w:rsid w:val="006153f8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ListParagraph">
    <w:name w:val="List Paragraph"/>
    <w:basedOn w:val="Normal"/>
    <w:uiPriority w:val="34"/>
    <w:qFormat/>
    <w:rsid w:val="006153f8"/>
    <w:pPr>
      <w:spacing w:before="0" w:after="0"/>
      <w:ind w:left="720" w:hanging="0"/>
      <w:contextualSpacing/>
    </w:pPr>
    <w:rPr/>
  </w:style>
  <w:style w:type="paragraph" w:styleId="Xl65" w:customStyle="1">
    <w:name w:val="xl65"/>
    <w:basedOn w:val="Normal"/>
    <w:qFormat/>
    <w:rsid w:val="006153f8"/>
    <w:pPr>
      <w:spacing w:beforeAutospacing="1" w:afterAutospacing="1"/>
      <w:textAlignment w:val="top"/>
    </w:pPr>
    <w:rPr>
      <w:sz w:val="16"/>
      <w:szCs w:val="16"/>
    </w:rPr>
  </w:style>
  <w:style w:type="paragraph" w:styleId="Xl66" w:customStyle="1">
    <w:name w:val="xl66"/>
    <w:basedOn w:val="Normal"/>
    <w:qFormat/>
    <w:rsid w:val="006153f8"/>
    <w:pPr>
      <w:spacing w:beforeAutospacing="1" w:afterAutospacing="1"/>
      <w:textAlignment w:val="top"/>
    </w:pPr>
    <w:rPr>
      <w:b/>
      <w:bCs/>
      <w:sz w:val="16"/>
      <w:szCs w:val="16"/>
    </w:rPr>
  </w:style>
  <w:style w:type="paragraph" w:styleId="Xl67" w:customStyle="1">
    <w:name w:val="xl67"/>
    <w:basedOn w:val="Normal"/>
    <w:qFormat/>
    <w:rsid w:val="006153f8"/>
    <w:pPr>
      <w:spacing w:beforeAutospacing="1" w:afterAutospacing="1"/>
      <w:textAlignment w:val="top"/>
    </w:pPr>
    <w:rPr>
      <w:sz w:val="16"/>
      <w:szCs w:val="16"/>
    </w:rPr>
  </w:style>
  <w:style w:type="paragraph" w:styleId="Xl68" w:customStyle="1">
    <w:name w:val="xl68"/>
    <w:basedOn w:val="Normal"/>
    <w:qFormat/>
    <w:rsid w:val="006153f8"/>
    <w:pPr>
      <w:spacing w:beforeAutospacing="1" w:afterAutospacing="1"/>
      <w:textAlignment w:val="top"/>
    </w:pPr>
    <w:rPr>
      <w:b/>
      <w:bCs/>
      <w:sz w:val="16"/>
      <w:szCs w:val="16"/>
    </w:rPr>
  </w:style>
  <w:style w:type="paragraph" w:styleId="Xl69" w:customStyle="1">
    <w:name w:val="xl69"/>
    <w:basedOn w:val="Normal"/>
    <w:qFormat/>
    <w:rsid w:val="006153f8"/>
    <w:pPr>
      <w:spacing w:beforeAutospacing="1" w:afterAutospacing="1"/>
      <w:textAlignment w:val="top"/>
    </w:pPr>
    <w:rPr>
      <w:b/>
      <w:bCs/>
      <w:sz w:val="16"/>
      <w:szCs w:val="16"/>
    </w:rPr>
  </w:style>
  <w:style w:type="paragraph" w:styleId="Xl70" w:customStyle="1">
    <w:name w:val="xl70"/>
    <w:basedOn w:val="Normal"/>
    <w:qFormat/>
    <w:rsid w:val="006153f8"/>
    <w:pPr>
      <w:spacing w:beforeAutospacing="1" w:afterAutospacing="1"/>
      <w:textAlignment w:val="top"/>
    </w:pPr>
    <w:rPr>
      <w:b/>
      <w:bCs/>
      <w:sz w:val="16"/>
      <w:szCs w:val="16"/>
    </w:rPr>
  </w:style>
  <w:style w:type="paragraph" w:styleId="Xl71" w:customStyle="1">
    <w:name w:val="xl71"/>
    <w:basedOn w:val="Normal"/>
    <w:qFormat/>
    <w:rsid w:val="006153f8"/>
    <w:pPr>
      <w:spacing w:beforeAutospacing="1" w:afterAutospacing="1"/>
      <w:textAlignment w:val="top"/>
    </w:pPr>
    <w:rPr>
      <w:b/>
      <w:bCs/>
      <w:sz w:val="16"/>
      <w:szCs w:val="16"/>
    </w:rPr>
  </w:style>
  <w:style w:type="paragraph" w:styleId="Xl72" w:customStyle="1">
    <w:name w:val="xl72"/>
    <w:basedOn w:val="Normal"/>
    <w:qFormat/>
    <w:rsid w:val="006153f8"/>
    <w:pPr>
      <w:spacing w:beforeAutospacing="1" w:afterAutospacing="1"/>
      <w:textAlignment w:val="top"/>
    </w:pPr>
    <w:rPr>
      <w:sz w:val="16"/>
      <w:szCs w:val="16"/>
    </w:rPr>
  </w:style>
  <w:style w:type="paragraph" w:styleId="Xl73" w:customStyle="1">
    <w:name w:val="xl73"/>
    <w:basedOn w:val="Normal"/>
    <w:qFormat/>
    <w:rsid w:val="006153f8"/>
    <w:pPr>
      <w:spacing w:beforeAutospacing="1" w:afterAutospacing="1"/>
      <w:textAlignment w:val="top"/>
    </w:pPr>
    <w:rPr>
      <w:sz w:val="16"/>
      <w:szCs w:val="16"/>
    </w:rPr>
  </w:style>
  <w:style w:type="paragraph" w:styleId="Xl74" w:customStyle="1">
    <w:name w:val="xl74"/>
    <w:basedOn w:val="Normal"/>
    <w:qFormat/>
    <w:rsid w:val="006153f8"/>
    <w:pPr>
      <w:spacing w:beforeAutospacing="1" w:afterAutospacing="1"/>
      <w:textAlignment w:val="top"/>
    </w:pPr>
    <w:rPr>
      <w:sz w:val="16"/>
      <w:szCs w:val="16"/>
    </w:rPr>
  </w:style>
  <w:style w:type="paragraph" w:styleId="Xl75" w:customStyle="1">
    <w:name w:val="xl75"/>
    <w:basedOn w:val="Normal"/>
    <w:qFormat/>
    <w:rsid w:val="006153f8"/>
    <w:pPr>
      <w:spacing w:beforeAutospacing="1" w:afterAutospacing="1"/>
      <w:textAlignment w:val="top"/>
    </w:pPr>
    <w:rPr>
      <w:sz w:val="16"/>
      <w:szCs w:val="16"/>
    </w:rPr>
  </w:style>
  <w:style w:type="paragraph" w:styleId="Xl76" w:customStyle="1">
    <w:name w:val="xl76"/>
    <w:basedOn w:val="Normal"/>
    <w:qFormat/>
    <w:rsid w:val="006153f8"/>
    <w:pPr>
      <w:spacing w:beforeAutospacing="1" w:afterAutospacing="1"/>
      <w:textAlignment w:val="top"/>
    </w:pPr>
    <w:rPr>
      <w:sz w:val="16"/>
      <w:szCs w:val="16"/>
    </w:rPr>
  </w:style>
  <w:style w:type="paragraph" w:styleId="Xl77" w:customStyle="1">
    <w:name w:val="xl77"/>
    <w:basedOn w:val="Normal"/>
    <w:qFormat/>
    <w:rsid w:val="006153f8"/>
    <w:pPr>
      <w:spacing w:beforeAutospacing="1" w:afterAutospacing="1"/>
      <w:textAlignment w:val="top"/>
    </w:pPr>
    <w:rPr>
      <w:sz w:val="16"/>
      <w:szCs w:val="16"/>
    </w:rPr>
  </w:style>
  <w:style w:type="paragraph" w:styleId="Xl78" w:customStyle="1">
    <w:name w:val="xl78"/>
    <w:basedOn w:val="Normal"/>
    <w:qFormat/>
    <w:rsid w:val="006153f8"/>
    <w:pPr>
      <w:pBdr>
        <w:bottom w:val="single" w:sz="4" w:space="0" w:color="000000"/>
      </w:pBdr>
      <w:spacing w:beforeAutospacing="1" w:afterAutospacing="1"/>
      <w:textAlignment w:val="top"/>
    </w:pPr>
    <w:rPr>
      <w:b/>
      <w:bCs/>
      <w:sz w:val="16"/>
      <w:szCs w:val="16"/>
    </w:rPr>
  </w:style>
  <w:style w:type="paragraph" w:styleId="Xl79" w:customStyle="1">
    <w:name w:val="xl79"/>
    <w:basedOn w:val="Normal"/>
    <w:qFormat/>
    <w:rsid w:val="006153f8"/>
    <w:pPr>
      <w:pBdr>
        <w:bottom w:val="single" w:sz="4" w:space="0" w:color="000000"/>
      </w:pBdr>
      <w:spacing w:beforeAutospacing="1" w:afterAutospacing="1"/>
      <w:textAlignment w:val="top"/>
    </w:pPr>
    <w:rPr>
      <w:b/>
      <w:bCs/>
      <w:sz w:val="16"/>
      <w:szCs w:val="16"/>
    </w:rPr>
  </w:style>
  <w:style w:type="paragraph" w:styleId="T129sred" w:customStyle="1">
    <w:name w:val="t-12-9-sred"/>
    <w:basedOn w:val="Normal"/>
    <w:qFormat/>
    <w:rsid w:val="006153f8"/>
    <w:pPr>
      <w:spacing w:beforeAutospacing="1" w:afterAutospacing="1"/>
    </w:pPr>
    <w:rPr/>
  </w:style>
  <w:style w:type="paragraph" w:styleId="T98bezuvl" w:customStyle="1">
    <w:name w:val="t-9-8-bez-uvl"/>
    <w:basedOn w:val="Normal"/>
    <w:qFormat/>
    <w:rsid w:val="006153f8"/>
    <w:pPr>
      <w:spacing w:beforeAutospacing="1" w:afterAutospacing="1"/>
    </w:pPr>
    <w:rPr/>
  </w:style>
  <w:style w:type="paragraph" w:styleId="Uvlakatijelateksta">
    <w:name w:val="Body Text Indent"/>
    <w:basedOn w:val="Normal"/>
    <w:link w:val="UvuenotijelotekstaChar"/>
    <w:uiPriority w:val="99"/>
    <w:semiHidden/>
    <w:unhideWhenUsed/>
    <w:rsid w:val="006153f8"/>
    <w:pPr>
      <w:spacing w:before="0" w:after="120"/>
      <w:ind w:left="283" w:hanging="0"/>
    </w:pPr>
    <w:rPr>
      <w:szCs w:val="20"/>
    </w:rPr>
  </w:style>
  <w:style w:type="paragraph" w:styleId="Annotationtext">
    <w:name w:val="annotation text"/>
    <w:basedOn w:val="Normal"/>
    <w:link w:val="TekstkomentaraChar"/>
    <w:unhideWhenUsed/>
    <w:qFormat/>
    <w:rsid w:val="006153f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araChar"/>
    <w:uiPriority w:val="99"/>
    <w:semiHidden/>
    <w:unhideWhenUsed/>
    <w:qFormat/>
    <w:rsid w:val="006153f8"/>
    <w:pPr/>
    <w:rPr>
      <w:b/>
      <w:bCs/>
    </w:rPr>
  </w:style>
  <w:style w:type="paragraph" w:styleId="Xl80" w:customStyle="1">
    <w:name w:val="xl80"/>
    <w:basedOn w:val="Normal"/>
    <w:qFormat/>
    <w:rsid w:val="006153f8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styleId="Xl81" w:customStyle="1">
    <w:name w:val="xl81"/>
    <w:basedOn w:val="Normal"/>
    <w:qFormat/>
    <w:rsid w:val="006153f8"/>
    <w:pPr>
      <w:pBdr>
        <w:bottom w:val="double" w:sz="6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styleId="Xl82" w:customStyle="1">
    <w:name w:val="xl82"/>
    <w:basedOn w:val="Normal"/>
    <w:qFormat/>
    <w:rsid w:val="006153f8"/>
    <w:pPr>
      <w:pBdr>
        <w:bottom w:val="single" w:sz="8" w:space="0" w:color="000000"/>
      </w:pBdr>
      <w:shd w:val="clear" w:color="000000" w:fill="505050"/>
      <w:spacing w:beforeAutospacing="1" w:afterAutospacing="1"/>
      <w:textAlignment w:val="center"/>
    </w:pPr>
    <w:rPr>
      <w:b/>
      <w:bCs/>
      <w:color w:val="FFFFFF"/>
    </w:rPr>
  </w:style>
  <w:style w:type="paragraph" w:styleId="Xl83" w:customStyle="1">
    <w:name w:val="xl83"/>
    <w:basedOn w:val="Normal"/>
    <w:qFormat/>
    <w:rsid w:val="006153f8"/>
    <w:pPr>
      <w:pBdr>
        <w:top w:val="single" w:sz="8" w:space="0" w:color="000000"/>
        <w:left w:val="single" w:sz="8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styleId="Xl84" w:customStyle="1">
    <w:name w:val="xl84"/>
    <w:basedOn w:val="Normal"/>
    <w:qFormat/>
    <w:rsid w:val="006153f8"/>
    <w:pPr>
      <w:pBdr>
        <w:top w:val="single" w:sz="8" w:space="0" w:color="000000"/>
        <w:bottom w:val="double" w:sz="6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styleId="Uobiajeno1LTGliederung1" w:customStyle="1">
    <w:name w:val="Uobi?ajeno 1~LT~Gliederung 1"/>
    <w:qFormat/>
    <w:rsid w:val="006153f8"/>
    <w:pPr>
      <w:widowControl/>
      <w:suppressAutoHyphens w:val="true"/>
      <w:bidi w:val="0"/>
      <w:spacing w:lineRule="auto" w:line="240" w:before="0" w:after="283"/>
      <w:jc w:val="left"/>
    </w:pPr>
    <w:rPr>
      <w:rFonts w:ascii="Mangal" w:hAnsi="Mangal" w:eastAsia="SimSun" w:cs="Mangal"/>
      <w:color w:val="000000"/>
      <w:kern w:val="2"/>
      <w:sz w:val="64"/>
      <w:szCs w:val="64"/>
      <w:lang w:val="hr-HR" w:eastAsia="en-US" w:bidi="ar-SA"/>
    </w:rPr>
  </w:style>
  <w:style w:type="paragraph" w:styleId="Revision">
    <w:name w:val="Revision"/>
    <w:uiPriority w:val="99"/>
    <w:semiHidden/>
    <w:qFormat/>
    <w:rsid w:val="006153f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hr-HR" w:eastAsia="hr-HR" w:bidi="ar-SA"/>
    </w:rPr>
  </w:style>
  <w:style w:type="paragraph" w:styleId="Xl85" w:customStyle="1">
    <w:name w:val="xl85"/>
    <w:basedOn w:val="Normal"/>
    <w:qFormat/>
    <w:rsid w:val="005f5c01"/>
    <w:pPr>
      <w:pBdr>
        <w:top w:val="single" w:sz="8" w:space="0" w:color="000000"/>
        <w:bottom w:val="double" w:sz="6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Msonormal" w:customStyle="1">
    <w:name w:val="msonormal"/>
    <w:basedOn w:val="Normal"/>
    <w:qFormat/>
    <w:rsid w:val="00105964"/>
    <w:pPr>
      <w:spacing w:beforeAutospacing="1" w:afterAutospacing="1"/>
    </w:pPr>
    <w:rPr/>
  </w:style>
  <w:style w:type="paragraph" w:styleId="Xl86" w:customStyle="1">
    <w:name w:val="xl86"/>
    <w:basedOn w:val="Normal"/>
    <w:qFormat/>
    <w:rsid w:val="004f5e02"/>
    <w:pPr>
      <w:shd w:val="clear" w:color="000000" w:fill="FFFF99"/>
      <w:spacing w:beforeAutospacing="1" w:afterAutospacing="1"/>
      <w:textAlignment w:val="top"/>
    </w:pPr>
    <w:rPr>
      <w:b/>
      <w:bCs/>
      <w:sz w:val="16"/>
      <w:szCs w:val="16"/>
    </w:rPr>
  </w:style>
  <w:style w:type="paragraph" w:styleId="Xl87" w:customStyle="1">
    <w:name w:val="xl87"/>
    <w:basedOn w:val="Normal"/>
    <w:qFormat/>
    <w:rsid w:val="004f5e02"/>
    <w:pPr>
      <w:shd w:val="clear" w:color="000000" w:fill="FFFF99"/>
      <w:spacing w:beforeAutospacing="1" w:afterAutospacing="1"/>
      <w:jc w:val="right"/>
      <w:textAlignment w:val="top"/>
    </w:pPr>
    <w:rPr>
      <w:b/>
      <w:bCs/>
      <w:sz w:val="16"/>
      <w:szCs w:val="16"/>
    </w:rPr>
  </w:style>
  <w:style w:type="paragraph" w:styleId="Xl88" w:customStyle="1">
    <w:name w:val="xl88"/>
    <w:basedOn w:val="Normal"/>
    <w:qFormat/>
    <w:rsid w:val="004f5e02"/>
    <w:pPr>
      <w:spacing w:beforeAutospacing="1" w:afterAutospacing="1"/>
      <w:textAlignment w:val="top"/>
    </w:pPr>
    <w:rPr>
      <w:b/>
      <w:bCs/>
      <w:sz w:val="16"/>
      <w:szCs w:val="16"/>
    </w:rPr>
  </w:style>
  <w:style w:type="paragraph" w:styleId="Xl89" w:customStyle="1">
    <w:name w:val="xl89"/>
    <w:basedOn w:val="Normal"/>
    <w:qFormat/>
    <w:rsid w:val="004f5e02"/>
    <w:pPr>
      <w:spacing w:beforeAutospacing="1" w:afterAutospacing="1"/>
      <w:jc w:val="right"/>
      <w:textAlignment w:val="top"/>
    </w:pPr>
    <w:rPr>
      <w:b/>
      <w:bCs/>
      <w:sz w:val="16"/>
      <w:szCs w:val="16"/>
    </w:rPr>
  </w:style>
  <w:style w:type="paragraph" w:styleId="Xl90" w:customStyle="1">
    <w:name w:val="xl90"/>
    <w:basedOn w:val="Normal"/>
    <w:qFormat/>
    <w:rsid w:val="004f5e02"/>
    <w:pPr>
      <w:spacing w:beforeAutospacing="1" w:afterAutospacing="1"/>
      <w:jc w:val="right"/>
      <w:textAlignment w:val="top"/>
    </w:pPr>
    <w:rPr>
      <w:sz w:val="16"/>
      <w:szCs w:val="16"/>
    </w:rPr>
  </w:style>
  <w:style w:type="paragraph" w:styleId="Xl91" w:customStyle="1">
    <w:name w:val="xl91"/>
    <w:basedOn w:val="Normal"/>
    <w:qFormat/>
    <w:rsid w:val="004f5e02"/>
    <w:pPr>
      <w:shd w:val="clear" w:color="000000" w:fill="CCCCFF"/>
      <w:spacing w:beforeAutospacing="1" w:afterAutospacing="1"/>
      <w:jc w:val="right"/>
      <w:textAlignment w:val="top"/>
    </w:pPr>
    <w:rPr>
      <w:b/>
      <w:bCs/>
      <w:color w:val="333333"/>
      <w:sz w:val="16"/>
      <w:szCs w:val="16"/>
    </w:rPr>
  </w:style>
  <w:style w:type="paragraph" w:styleId="Xl92" w:customStyle="1">
    <w:name w:val="xl92"/>
    <w:basedOn w:val="Normal"/>
    <w:qFormat/>
    <w:rsid w:val="004f5e02"/>
    <w:pPr>
      <w:shd w:val="clear" w:color="000000" w:fill="92D050"/>
      <w:spacing w:beforeAutospacing="1" w:afterAutospacing="1"/>
      <w:textAlignment w:val="top"/>
    </w:pPr>
    <w:rPr>
      <w:b/>
      <w:bCs/>
      <w:sz w:val="16"/>
      <w:szCs w:val="16"/>
    </w:rPr>
  </w:style>
  <w:style w:type="paragraph" w:styleId="Xl93" w:customStyle="1">
    <w:name w:val="xl93"/>
    <w:basedOn w:val="Normal"/>
    <w:qFormat/>
    <w:rsid w:val="004f5e02"/>
    <w:pPr>
      <w:shd w:val="clear" w:color="000000" w:fill="92D050"/>
      <w:spacing w:beforeAutospacing="1" w:afterAutospacing="1"/>
      <w:textAlignment w:val="top"/>
    </w:pPr>
    <w:rPr>
      <w:sz w:val="16"/>
      <w:szCs w:val="16"/>
    </w:rPr>
  </w:style>
  <w:style w:type="paragraph" w:styleId="Xl94" w:customStyle="1">
    <w:name w:val="xl94"/>
    <w:basedOn w:val="Normal"/>
    <w:qFormat/>
    <w:rsid w:val="004f5e02"/>
    <w:pPr>
      <w:shd w:val="clear" w:color="000000" w:fill="92D050"/>
      <w:spacing w:beforeAutospacing="1" w:afterAutospacing="1"/>
      <w:jc w:val="right"/>
      <w:textAlignment w:val="top"/>
    </w:pPr>
    <w:rPr>
      <w:b/>
      <w:bCs/>
      <w:sz w:val="16"/>
      <w:szCs w:val="16"/>
    </w:rPr>
  </w:style>
  <w:style w:type="paragraph" w:styleId="Xl95" w:customStyle="1">
    <w:name w:val="xl95"/>
    <w:basedOn w:val="Normal"/>
    <w:qFormat/>
    <w:rsid w:val="004f5e02"/>
    <w:pPr>
      <w:spacing w:beforeAutospacing="1" w:afterAutospacing="1"/>
      <w:jc w:val="right"/>
      <w:textAlignment w:val="top"/>
    </w:pPr>
    <w:rPr>
      <w:sz w:val="16"/>
      <w:szCs w:val="16"/>
    </w:rPr>
  </w:style>
  <w:style w:type="paragraph" w:styleId="Xl96" w:customStyle="1">
    <w:name w:val="xl96"/>
    <w:basedOn w:val="Normal"/>
    <w:qFormat/>
    <w:rsid w:val="004f5e02"/>
    <w:pPr>
      <w:pBdr>
        <w:top w:val="single" w:sz="4" w:space="0" w:color="000000"/>
        <w:bottom w:val="single" w:sz="4" w:space="0" w:color="000000"/>
      </w:pBdr>
      <w:shd w:val="clear" w:color="000000" w:fill="C0C0C0"/>
      <w:spacing w:beforeAutospacing="1" w:afterAutospacing="1"/>
      <w:jc w:val="right"/>
      <w:textAlignment w:val="top"/>
    </w:pPr>
    <w:rPr>
      <w:b/>
      <w:bCs/>
      <w:sz w:val="16"/>
      <w:szCs w:val="16"/>
    </w:rPr>
  </w:style>
  <w:style w:type="paragraph" w:styleId="Xl97" w:customStyle="1">
    <w:name w:val="xl97"/>
    <w:basedOn w:val="Normal"/>
    <w:qFormat/>
    <w:rsid w:val="004f5e02"/>
    <w:pPr>
      <w:shd w:val="clear" w:color="000000" w:fill="9999FF"/>
      <w:spacing w:beforeAutospacing="1" w:afterAutospacing="1"/>
      <w:jc w:val="right"/>
      <w:textAlignment w:val="top"/>
    </w:pPr>
    <w:rPr>
      <w:b/>
      <w:bCs/>
      <w:sz w:val="16"/>
      <w:szCs w:val="16"/>
    </w:rPr>
  </w:style>
  <w:style w:type="paragraph" w:styleId="Xl98" w:customStyle="1">
    <w:name w:val="xl98"/>
    <w:basedOn w:val="Normal"/>
    <w:qFormat/>
    <w:rsid w:val="004f5e02"/>
    <w:pPr>
      <w:pBdr>
        <w:top w:val="single" w:sz="4" w:space="0" w:color="000000"/>
        <w:bottom w:val="single" w:sz="4" w:space="0" w:color="000000"/>
      </w:pBdr>
      <w:shd w:val="clear" w:color="000000" w:fill="9999FF"/>
      <w:spacing w:beforeAutospacing="1" w:afterAutospacing="1"/>
      <w:jc w:val="right"/>
      <w:textAlignment w:val="top"/>
    </w:pPr>
    <w:rPr>
      <w:b/>
      <w:bCs/>
      <w:sz w:val="16"/>
      <w:szCs w:val="16"/>
    </w:rPr>
  </w:style>
  <w:style w:type="paragraph" w:styleId="Xl99" w:customStyle="1">
    <w:name w:val="xl99"/>
    <w:basedOn w:val="Normal"/>
    <w:qFormat/>
    <w:rsid w:val="004f5e02"/>
    <w:pPr>
      <w:shd w:val="clear" w:color="000000" w:fill="CCCCFF"/>
      <w:spacing w:beforeAutospacing="1" w:afterAutospacing="1"/>
      <w:jc w:val="right"/>
      <w:textAlignment w:val="top"/>
    </w:pPr>
    <w:rPr>
      <w:b/>
      <w:bCs/>
      <w:color w:val="333333"/>
      <w:sz w:val="16"/>
      <w:szCs w:val="16"/>
    </w:rPr>
  </w:style>
  <w:style w:type="paragraph" w:styleId="Xl100" w:customStyle="1">
    <w:name w:val="xl100"/>
    <w:basedOn w:val="Normal"/>
    <w:qFormat/>
    <w:rsid w:val="004f5e02"/>
    <w:pPr>
      <w:shd w:val="clear" w:color="000000" w:fill="FF9900"/>
      <w:spacing w:beforeAutospacing="1" w:afterAutospacing="1"/>
      <w:jc w:val="right"/>
      <w:textAlignment w:val="top"/>
    </w:pPr>
    <w:rPr>
      <w:b/>
      <w:bCs/>
      <w:sz w:val="16"/>
      <w:szCs w:val="16"/>
    </w:rPr>
  </w:style>
  <w:style w:type="paragraph" w:styleId="Xl101" w:customStyle="1">
    <w:name w:val="xl101"/>
    <w:basedOn w:val="Normal"/>
    <w:qFormat/>
    <w:rsid w:val="004f5e02"/>
    <w:pPr>
      <w:shd w:val="clear" w:color="000000" w:fill="FFFF99"/>
      <w:spacing w:beforeAutospacing="1" w:afterAutospacing="1"/>
      <w:jc w:val="right"/>
      <w:textAlignment w:val="top"/>
    </w:pPr>
    <w:rPr>
      <w:b/>
      <w:bCs/>
      <w:sz w:val="16"/>
      <w:szCs w:val="16"/>
    </w:rPr>
  </w:style>
  <w:style w:type="paragraph" w:styleId="Xl102" w:customStyle="1">
    <w:name w:val="xl102"/>
    <w:basedOn w:val="Normal"/>
    <w:qFormat/>
    <w:rsid w:val="004f5e02"/>
    <w:pPr>
      <w:spacing w:beforeAutospacing="1" w:afterAutospacing="1"/>
      <w:jc w:val="right"/>
      <w:textAlignment w:val="top"/>
    </w:pPr>
    <w:rPr>
      <w:b/>
      <w:bCs/>
      <w:sz w:val="16"/>
      <w:szCs w:val="16"/>
    </w:rPr>
  </w:style>
  <w:style w:type="paragraph" w:styleId="Xl103" w:customStyle="1">
    <w:name w:val="xl103"/>
    <w:basedOn w:val="Normal"/>
    <w:qFormat/>
    <w:rsid w:val="004f5e02"/>
    <w:pPr>
      <w:spacing w:beforeAutospacing="1" w:afterAutospacing="1"/>
      <w:jc w:val="right"/>
      <w:textAlignment w:val="top"/>
    </w:pPr>
    <w:rPr>
      <w:sz w:val="16"/>
      <w:szCs w:val="16"/>
    </w:rPr>
  </w:style>
  <w:style w:type="paragraph" w:styleId="Xl104" w:customStyle="1">
    <w:name w:val="xl104"/>
    <w:basedOn w:val="Normal"/>
    <w:qFormat/>
    <w:rsid w:val="004f5e02"/>
    <w:pPr>
      <w:shd w:val="clear" w:color="000000" w:fill="92D050"/>
      <w:spacing w:beforeAutospacing="1" w:afterAutospacing="1"/>
      <w:jc w:val="right"/>
      <w:textAlignment w:val="top"/>
    </w:pPr>
    <w:rPr>
      <w:b/>
      <w:bCs/>
      <w:sz w:val="16"/>
      <w:szCs w:val="16"/>
    </w:rPr>
  </w:style>
  <w:style w:type="paragraph" w:styleId="Xl105" w:customStyle="1">
    <w:name w:val="xl105"/>
    <w:basedOn w:val="Normal"/>
    <w:qFormat/>
    <w:rsid w:val="004f5e02"/>
    <w:pPr>
      <w:spacing w:beforeAutospacing="1" w:afterAutospacing="1"/>
      <w:textAlignment w:val="top"/>
    </w:pPr>
    <w:rPr>
      <w:b/>
      <w:bCs/>
      <w:sz w:val="16"/>
      <w:szCs w:val="16"/>
    </w:rPr>
  </w:style>
  <w:style w:type="paragraph" w:styleId="Xl106" w:customStyle="1">
    <w:name w:val="xl106"/>
    <w:basedOn w:val="Normal"/>
    <w:qFormat/>
    <w:rsid w:val="004f5e02"/>
    <w:pPr>
      <w:spacing w:beforeAutospacing="1" w:afterAutospacing="1"/>
      <w:textAlignment w:val="top"/>
    </w:pPr>
    <w:rPr>
      <w:sz w:val="16"/>
      <w:szCs w:val="16"/>
    </w:rPr>
  </w:style>
  <w:style w:type="paragraph" w:styleId="Xl107" w:customStyle="1">
    <w:name w:val="xl107"/>
    <w:basedOn w:val="Normal"/>
    <w:qFormat/>
    <w:rsid w:val="004f5e02"/>
    <w:pPr>
      <w:pBdr>
        <w:bottom w:val="single" w:sz="4" w:space="0" w:color="000000"/>
      </w:pBdr>
      <w:shd w:val="clear" w:color="000000" w:fill="969696"/>
      <w:spacing w:beforeAutospacing="1" w:afterAutospacing="1"/>
      <w:jc w:val="center"/>
      <w:textAlignment w:val="top"/>
    </w:pPr>
    <w:rPr>
      <w:b/>
      <w:bCs/>
      <w:sz w:val="16"/>
      <w:szCs w:val="16"/>
    </w:rPr>
  </w:style>
  <w:style w:type="paragraph" w:styleId="Xl108" w:customStyle="1">
    <w:name w:val="xl108"/>
    <w:basedOn w:val="Normal"/>
    <w:qFormat/>
    <w:rsid w:val="004f5e02"/>
    <w:pPr>
      <w:pBdr>
        <w:top w:val="single" w:sz="4" w:space="0" w:color="000000"/>
      </w:pBdr>
      <w:shd w:val="clear" w:color="000000" w:fill="CCCCFF"/>
      <w:spacing w:beforeAutospacing="1" w:afterAutospacing="1"/>
      <w:jc w:val="right"/>
      <w:textAlignment w:val="top"/>
    </w:pPr>
    <w:rPr>
      <w:b/>
      <w:bCs/>
      <w:color w:val="333333"/>
      <w:sz w:val="16"/>
      <w:szCs w:val="16"/>
    </w:rPr>
  </w:style>
  <w:style w:type="paragraph" w:styleId="Xl109" w:customStyle="1">
    <w:name w:val="xl109"/>
    <w:basedOn w:val="Normal"/>
    <w:qFormat/>
    <w:rsid w:val="004f5e02"/>
    <w:pPr>
      <w:pBdr>
        <w:bottom w:val="single" w:sz="4" w:space="0" w:color="000000"/>
      </w:pBdr>
      <w:spacing w:beforeAutospacing="1" w:afterAutospacing="1"/>
      <w:jc w:val="right"/>
      <w:textAlignment w:val="top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3f78ff"/>
    <w:pPr>
      <w:spacing w:beforeAutospacing="1" w:afterAutospacing="1"/>
    </w:pPr>
    <w:rPr/>
  </w:style>
  <w:style w:type="paragraph" w:styleId="Box455870" w:customStyle="1">
    <w:name w:val="box_455870"/>
    <w:basedOn w:val="Normal"/>
    <w:qFormat/>
    <w:rsid w:val="0049364e"/>
    <w:pPr>
      <w:spacing w:beforeAutospacing="1" w:afterAutospacing="1"/>
    </w:pPr>
    <w:rPr/>
  </w:style>
  <w:style w:type="paragraph" w:styleId="Default" w:customStyle="1">
    <w:name w:val="Default"/>
    <w:qFormat/>
    <w:rsid w:val="000e1b5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hr-HR" w:eastAsia="en-US" w:bidi="ar-SA"/>
    </w:rPr>
  </w:style>
  <w:style w:type="paragraph" w:styleId="Zavrnabiljeka">
    <w:name w:val="Endnote Text"/>
    <w:basedOn w:val="Normal"/>
    <w:link w:val="TekstkrajnjebiljekeChar"/>
    <w:uiPriority w:val="99"/>
    <w:semiHidden/>
    <w:unhideWhenUsed/>
    <w:rsid w:val="00f3580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72B5A-7A44-4490-981C-B63D4892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LibreOffice/7.4.1.2$Windows_X86_64 LibreOffice_project/3c58a8f3a960df8bc8fd77b461821e42c061c5f0</Application>
  <AppVersion>15.0000</AppVersion>
  <Pages>9</Pages>
  <Words>3386</Words>
  <Characters>20781</Characters>
  <CharactersWithSpaces>23731</CharactersWithSpaces>
  <Paragraphs>577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2026-04-30T06:22:00Z</dcterms:created>
  <dc:creator>Nijemci_6</dc:creator>
  <dc:description/>
  <dc:language>hr-HR</dc:language>
  <cp:lastModifiedBy/>
  <cp:lastPrinted>2024-05-27T08:25:00Z</cp:lastPrinted>
  <dcterms:modified xsi:type="dcterms:W3CDTF">2026-05-05T13:19:36Z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