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rPr>
          <w:rFonts w:ascii="Times New Roman" w:hAnsi="Times New Roman" w:cs="Times New Roman"/>
          <w:sz w:val="24"/>
          <w:szCs w:val="24"/>
        </w:rPr>
      </w:pPr>
      <w:r>
        <w:rPr>
          <w:rFonts w:cs="Times New Roman" w:ascii="Times New Roman" w:hAnsi="Times New Roman"/>
          <w:sz w:val="24"/>
          <w:szCs w:val="24"/>
        </w:rPr>
        <w:tab/>
      </w:r>
      <w:r>
        <w:rPr/>
        <w:drawing>
          <wp:inline distT="0" distB="0" distL="0" distR="0">
            <wp:extent cx="476250" cy="600075"/>
            <wp:effectExtent l="0" t="0" r="0" b="0"/>
            <wp:docPr id="1" name="Slika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
                    <pic:cNvPicPr>
                      <a:picLocks noChangeAspect="1" noChangeArrowheads="1"/>
                    </pic:cNvPicPr>
                  </pic:nvPicPr>
                  <pic:blipFill>
                    <a:blip r:embed="rId2"/>
                    <a:stretch>
                      <a:fillRect/>
                    </a:stretch>
                  </pic:blipFill>
                  <pic:spPr bwMode="auto">
                    <a:xfrm>
                      <a:off x="0" y="0"/>
                      <a:ext cx="476250" cy="600075"/>
                    </a:xfrm>
                    <a:prstGeom prst="rect">
                      <a:avLst/>
                    </a:prstGeom>
                  </pic:spPr>
                </pic:pic>
              </a:graphicData>
            </a:graphic>
          </wp:inline>
        </w:drawing>
      </w:r>
      <w:r>
        <w:rPr>
          <w:rFonts w:cs="Times New Roman" w:ascii="Times New Roman" w:hAnsi="Times New Roman"/>
          <w:sz w:val="24"/>
          <w:szCs w:val="24"/>
        </w:rPr>
        <w:tab/>
      </w:r>
    </w:p>
    <w:p>
      <w:pPr>
        <w:pStyle w:val="Normal"/>
        <w:spacing w:before="0" w:after="0"/>
        <w:rPr>
          <w:rFonts w:ascii="Times New Roman" w:hAnsi="Times New Roman" w:cs="Times New Roman"/>
          <w:b/>
          <w:b/>
          <w:sz w:val="24"/>
          <w:szCs w:val="24"/>
        </w:rPr>
      </w:pPr>
      <w:r>
        <w:rPr>
          <w:rFonts w:cs="Times New Roman" w:ascii="Times New Roman" w:hAnsi="Times New Roman"/>
          <w:b/>
          <w:sz w:val="24"/>
          <w:szCs w:val="24"/>
        </w:rPr>
        <w:t>REPUBLIKA HRVATSKA</w:t>
      </w:r>
    </w:p>
    <w:p>
      <w:pPr>
        <w:pStyle w:val="Normal"/>
        <w:spacing w:before="0" w:after="0"/>
        <w:rPr>
          <w:rFonts w:ascii="Times New Roman" w:hAnsi="Times New Roman" w:cs="Times New Roman"/>
          <w:b/>
          <w:b/>
          <w:sz w:val="24"/>
          <w:szCs w:val="24"/>
        </w:rPr>
      </w:pPr>
      <w:r>
        <w:rPr>
          <w:rFonts w:cs="Times New Roman" w:ascii="Times New Roman" w:hAnsi="Times New Roman"/>
          <w:b/>
          <w:sz w:val="24"/>
          <w:szCs w:val="24"/>
        </w:rPr>
        <w:t>VUKOVARSKO-SRIJEMSKA ŽUPANIJA</w:t>
      </w:r>
    </w:p>
    <w:p>
      <w:pPr>
        <w:pStyle w:val="Normal"/>
        <w:spacing w:before="0" w:after="0"/>
        <w:rPr>
          <w:rFonts w:ascii="Times New Roman" w:hAnsi="Times New Roman" w:cs="Times New Roman"/>
          <w:b/>
          <w:b/>
          <w:sz w:val="24"/>
          <w:szCs w:val="24"/>
        </w:rPr>
      </w:pPr>
      <w:r>
        <w:rPr>
          <w:rFonts w:cs="Times New Roman" w:ascii="Times New Roman" w:hAnsi="Times New Roman"/>
          <w:b/>
          <w:sz w:val="24"/>
          <w:szCs w:val="24"/>
        </w:rPr>
        <w:t>OPĆINA NEGOSLAVCI</w:t>
      </w:r>
    </w:p>
    <w:p>
      <w:pPr>
        <w:pStyle w:val="Normal"/>
        <w:spacing w:before="0" w:after="0"/>
        <w:rPr>
          <w:rFonts w:ascii="Times New Roman" w:hAnsi="Times New Roman" w:cs="Times New Roman"/>
          <w:b/>
          <w:b/>
          <w:sz w:val="24"/>
          <w:szCs w:val="24"/>
        </w:rPr>
      </w:pPr>
      <w:r>
        <w:rPr>
          <w:rFonts w:cs="Times New Roman" w:ascii="Times New Roman" w:hAnsi="Times New Roman"/>
          <w:b/>
          <w:sz w:val="24"/>
          <w:szCs w:val="24"/>
        </w:rPr>
        <w:t>Općinski načelnik</w:t>
      </w:r>
    </w:p>
    <w:p>
      <w:pPr>
        <w:pStyle w:val="Normal"/>
        <w:spacing w:before="0" w:after="0"/>
        <w:rPr>
          <w:rFonts w:ascii="Times New Roman" w:hAnsi="Times New Roman" w:cs="Times New Roman"/>
          <w:sz w:val="24"/>
          <w:szCs w:val="24"/>
        </w:rPr>
      </w:pPr>
      <w:r>
        <w:rPr>
          <w:rFonts w:cs="Times New Roman" w:ascii="Times New Roman" w:hAnsi="Times New Roman"/>
          <w:b/>
          <w:sz w:val="24"/>
          <w:szCs w:val="24"/>
        </w:rPr>
        <w:t>KLASA:</w:t>
      </w:r>
      <w:r>
        <w:rPr>
          <w:rFonts w:cs="Times New Roman" w:ascii="Times New Roman" w:hAnsi="Times New Roman"/>
          <w:sz w:val="24"/>
          <w:szCs w:val="24"/>
        </w:rPr>
        <w:t xml:space="preserve"> 402-10/20-01/01</w:t>
      </w:r>
    </w:p>
    <w:p>
      <w:pPr>
        <w:pStyle w:val="Normal"/>
        <w:spacing w:before="0" w:after="0"/>
        <w:rPr>
          <w:rFonts w:ascii="Times New Roman" w:hAnsi="Times New Roman" w:cs="Times New Roman"/>
          <w:sz w:val="24"/>
          <w:szCs w:val="24"/>
        </w:rPr>
      </w:pPr>
      <w:r>
        <w:rPr>
          <w:rFonts w:cs="Times New Roman" w:ascii="Times New Roman" w:hAnsi="Times New Roman"/>
          <w:b/>
          <w:sz w:val="24"/>
          <w:szCs w:val="24"/>
        </w:rPr>
        <w:t>URBROJ:</w:t>
      </w:r>
      <w:r>
        <w:rPr>
          <w:rFonts w:cs="Times New Roman" w:ascii="Times New Roman" w:hAnsi="Times New Roman"/>
          <w:sz w:val="24"/>
          <w:szCs w:val="24"/>
        </w:rPr>
        <w:t xml:space="preserve"> 2196-06-01-21-01</w:t>
      </w:r>
    </w:p>
    <w:p>
      <w:pPr>
        <w:pStyle w:val="Normal"/>
        <w:spacing w:before="0" w:after="0"/>
        <w:rPr>
          <w:rFonts w:ascii="Times New Roman" w:hAnsi="Times New Roman" w:cs="Times New Roman"/>
          <w:sz w:val="24"/>
          <w:szCs w:val="24"/>
        </w:rPr>
      </w:pPr>
      <w:r>
        <w:rPr>
          <w:rFonts w:cs="Times New Roman" w:ascii="Times New Roman" w:hAnsi="Times New Roman"/>
          <w:b/>
          <w:sz w:val="24"/>
          <w:szCs w:val="24"/>
        </w:rPr>
        <w:t>U Negoslavcima</w:t>
      </w:r>
      <w:r>
        <w:rPr>
          <w:rFonts w:cs="Times New Roman" w:ascii="Times New Roman" w:hAnsi="Times New Roman"/>
          <w:sz w:val="24"/>
          <w:szCs w:val="24"/>
        </w:rPr>
        <w:t>, 02.12.2021.g.</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Na temelju članka 68. Zakona o proračunu („Narodne novine“ br. 87/08, 136/12 i 15/15), članka 32., stavka 2., točke 2. Statuta Općine Negoslavci („Službeni glasnik Općine Negoslavci“ broj 01/21) i Uredbe Vlade Republike Hrvatske o kriterijima, mjerilima i postupku za odgodu plaćanja, obročnu otplatu duga te prodaju, otpis ili djelomičan otpis potraživanja („Narodne novine“ broj 52/13 i 94/14), Općinski načelnik Općine Negoslavci dana 02.12.2021.godine donosi</w:t>
      </w:r>
    </w:p>
    <w:p>
      <w:pPr>
        <w:pStyle w:val="Normal"/>
        <w:jc w:val="center"/>
        <w:rPr>
          <w:rFonts w:ascii="Times New Roman" w:hAnsi="Times New Roman" w:cs="Times New Roman"/>
          <w:sz w:val="24"/>
          <w:szCs w:val="24"/>
        </w:rPr>
      </w:pPr>
      <w:r>
        <w:rPr>
          <w:rFonts w:cs="Times New Roman" w:ascii="Times New Roman" w:hAnsi="Times New Roman"/>
          <w:sz w:val="24"/>
          <w:szCs w:val="24"/>
        </w:rPr>
      </w:r>
    </w:p>
    <w:p>
      <w:pPr>
        <w:pStyle w:val="Normal"/>
        <w:spacing w:before="0" w:after="120"/>
        <w:jc w:val="center"/>
        <w:rPr>
          <w:rFonts w:ascii="Times New Roman" w:hAnsi="Times New Roman" w:cs="Times New Roman"/>
          <w:b/>
          <w:b/>
          <w:bCs/>
          <w:sz w:val="24"/>
          <w:szCs w:val="24"/>
        </w:rPr>
      </w:pPr>
      <w:r>
        <w:rPr>
          <w:rFonts w:cs="Times New Roman" w:ascii="Times New Roman" w:hAnsi="Times New Roman"/>
          <w:b/>
          <w:bCs/>
          <w:sz w:val="24"/>
          <w:szCs w:val="24"/>
        </w:rPr>
        <w:t>PRAVILNIK</w:t>
      </w:r>
    </w:p>
    <w:p>
      <w:pPr>
        <w:pStyle w:val="Normal"/>
        <w:spacing w:before="0" w:after="120"/>
        <w:jc w:val="center"/>
        <w:rPr>
          <w:rFonts w:ascii="Times New Roman" w:hAnsi="Times New Roman" w:cs="Times New Roman"/>
          <w:b/>
          <w:b/>
          <w:bCs/>
          <w:sz w:val="24"/>
          <w:szCs w:val="24"/>
        </w:rPr>
      </w:pPr>
      <w:r>
        <w:rPr>
          <w:rFonts w:cs="Times New Roman" w:ascii="Times New Roman" w:hAnsi="Times New Roman"/>
          <w:b/>
          <w:bCs/>
          <w:sz w:val="24"/>
          <w:szCs w:val="24"/>
        </w:rPr>
        <w:t>o kriterijima, mjerilima, uvjetima i postupku</w:t>
      </w:r>
    </w:p>
    <w:p>
      <w:pPr>
        <w:pStyle w:val="Normal"/>
        <w:spacing w:before="0" w:after="120"/>
        <w:jc w:val="center"/>
        <w:rPr>
          <w:rFonts w:ascii="Times New Roman" w:hAnsi="Times New Roman" w:cs="Times New Roman"/>
          <w:b/>
          <w:b/>
          <w:bCs/>
          <w:sz w:val="24"/>
          <w:szCs w:val="24"/>
        </w:rPr>
      </w:pPr>
      <w:r>
        <w:rPr>
          <w:rFonts w:cs="Times New Roman" w:ascii="Times New Roman" w:hAnsi="Times New Roman"/>
          <w:b/>
          <w:bCs/>
          <w:sz w:val="24"/>
          <w:szCs w:val="24"/>
        </w:rPr>
        <w:t>otpisa nenaplativih potraživanja Općine Negoslavci</w:t>
      </w:r>
    </w:p>
    <w:p>
      <w:pPr>
        <w:pStyle w:val="Normal"/>
        <w:rPr>
          <w:rFonts w:ascii="Times New Roman" w:hAnsi="Times New Roman" w:cs="Times New Roman"/>
          <w:b/>
          <w:b/>
          <w:bCs/>
          <w:sz w:val="24"/>
          <w:szCs w:val="24"/>
        </w:rPr>
      </w:pPr>
      <w:r>
        <w:rPr>
          <w:rFonts w:cs="Times New Roman" w:ascii="Times New Roman" w:hAnsi="Times New Roman"/>
          <w:b/>
          <w:bCs/>
          <w:sz w:val="24"/>
          <w:szCs w:val="24"/>
        </w:rPr>
      </w:r>
    </w:p>
    <w:p>
      <w:pPr>
        <w:pStyle w:val="ListParagraph"/>
        <w:numPr>
          <w:ilvl w:val="0"/>
          <w:numId w:val="2"/>
        </w:numPr>
        <w:rPr>
          <w:rFonts w:ascii="Times New Roman" w:hAnsi="Times New Roman" w:cs="Times New Roman"/>
          <w:b/>
          <w:b/>
          <w:bCs/>
          <w:sz w:val="24"/>
          <w:szCs w:val="24"/>
        </w:rPr>
      </w:pPr>
      <w:r>
        <w:rPr>
          <w:rFonts w:cs="Times New Roman" w:ascii="Times New Roman" w:hAnsi="Times New Roman"/>
          <w:b/>
          <w:bCs/>
          <w:sz w:val="24"/>
          <w:szCs w:val="24"/>
        </w:rPr>
        <w:t>OPĆE ODREDBE</w:t>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1.</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Ovim Pravilnikom utvrđuju se kriteriji i uvjeti te propisuje postupak otpisa nenaplativih potraživanja Općine Negoslavci. Odredbe ovog Pravilnika odnose se na potraživanja s osnove javnih davanja odnosno s osnove svih davanja čije je utvrđivanje i/ili naplata i/ili nadzor prema posebnim propisima u nadležnosti Općine Negoslavci, kao što su komunalna naknada, komunalni doprinos i ostali prihodi po posebnim propisima.</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Odredbe ovog Pravilnika ne odnose se na nejavna davanja i naknade za koncesije odnosno na potraživanja koja su nastala iz ugovornih odnosa.</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Kriteriji, mjerila i postupak otpisa potraživanja iz stavka 3. ovog članka regulirani su posebnom Uredbom Vlade Republike Hrvatske o kriterijima, mjerilima i postupku za odgodu plaćanja, obročnu otplatu duga te prodaju, otpis ili djelomičan otpis potraživanja.</w:t>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2.</w:t>
      </w:r>
    </w:p>
    <w:p>
      <w:pPr>
        <w:pStyle w:val="Normal"/>
        <w:spacing w:before="0" w:after="0"/>
        <w:ind w:firstLine="708"/>
        <w:rPr>
          <w:rFonts w:ascii="Times New Roman" w:hAnsi="Times New Roman" w:cs="Times New Roman"/>
          <w:sz w:val="24"/>
          <w:szCs w:val="24"/>
        </w:rPr>
      </w:pPr>
      <w:r>
        <w:rPr>
          <w:rFonts w:cs="Times New Roman" w:ascii="Times New Roman" w:hAnsi="Times New Roman"/>
          <w:sz w:val="24"/>
          <w:szCs w:val="24"/>
        </w:rPr>
        <w:t>Nenaplativo potraživanje u smislu ovog Pravilnika je ono potraživanje, za koje se po provedenom postupku i prikupljanjem odgovarajućih isprava od strane nadležnih tijela, na nedvojbeni način može utvrditi da se njime ne može postići svrha naplate, odnosno kojim se ne može postići utvrđivanje, osiguranje ili ostvarenje određenog potraživanja.</w:t>
      </w:r>
    </w:p>
    <w:p>
      <w:pPr>
        <w:pStyle w:val="Normal"/>
        <w:spacing w:before="0" w:after="0"/>
        <w:rPr>
          <w:rFonts w:ascii="Times New Roman" w:hAnsi="Times New Roman" w:cs="Times New Roman"/>
          <w:b/>
          <w:b/>
          <w:bCs/>
          <w:sz w:val="24"/>
          <w:szCs w:val="24"/>
        </w:rPr>
      </w:pPr>
      <w:r>
        <w:rPr>
          <w:rFonts w:cs="Times New Roman" w:ascii="Times New Roman" w:hAnsi="Times New Roman"/>
          <w:b/>
          <w:bCs/>
          <w:sz w:val="24"/>
          <w:szCs w:val="24"/>
        </w:rPr>
      </w:r>
    </w:p>
    <w:p>
      <w:pPr>
        <w:pStyle w:val="ListParagraph"/>
        <w:numPr>
          <w:ilvl w:val="0"/>
          <w:numId w:val="2"/>
        </w:numPr>
        <w:spacing w:before="0" w:after="0"/>
        <w:ind w:left="0" w:hanging="360"/>
        <w:contextualSpacing/>
        <w:rPr>
          <w:rFonts w:ascii="Times New Roman" w:hAnsi="Times New Roman" w:cs="Times New Roman"/>
          <w:b/>
          <w:b/>
          <w:bCs/>
          <w:sz w:val="24"/>
          <w:szCs w:val="24"/>
        </w:rPr>
      </w:pPr>
      <w:r>
        <w:rPr>
          <w:rFonts w:cs="Times New Roman" w:ascii="Times New Roman" w:hAnsi="Times New Roman"/>
          <w:b/>
          <w:bCs/>
          <w:sz w:val="24"/>
          <w:szCs w:val="24"/>
        </w:rPr>
        <w:t>MJERE I KRITERIJI ZA NAPLATU PRIHODA TE ODOBRAVANJE OBROČNE OTPLATE DUGA</w:t>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3.</w:t>
      </w:r>
    </w:p>
    <w:p>
      <w:pPr>
        <w:pStyle w:val="Normal"/>
        <w:spacing w:before="0" w:after="0"/>
        <w:ind w:firstLine="708"/>
        <w:rPr>
          <w:rFonts w:ascii="Times New Roman" w:hAnsi="Times New Roman" w:cs="Times New Roman"/>
          <w:sz w:val="24"/>
          <w:szCs w:val="24"/>
        </w:rPr>
      </w:pPr>
      <w:r>
        <w:rPr>
          <w:rFonts w:cs="Times New Roman" w:ascii="Times New Roman" w:hAnsi="Times New Roman"/>
          <w:sz w:val="24"/>
          <w:szCs w:val="24"/>
        </w:rPr>
        <w:t>Ukoliko potraživanja nisu naplaćena u rokovima dospijeća, podnose se mjere za naplatu i to:</w:t>
      </w:r>
    </w:p>
    <w:p>
      <w:pPr>
        <w:pStyle w:val="ListParagraph"/>
        <w:numPr>
          <w:ilvl w:val="0"/>
          <w:numId w:val="3"/>
        </w:numPr>
        <w:spacing w:before="0" w:after="0"/>
        <w:ind w:left="0" w:hanging="360"/>
        <w:contextualSpacing/>
        <w:rPr>
          <w:rFonts w:ascii="Times New Roman" w:hAnsi="Times New Roman" w:cs="Times New Roman"/>
          <w:sz w:val="24"/>
          <w:szCs w:val="24"/>
        </w:rPr>
      </w:pPr>
      <w:r>
        <w:rPr>
          <w:rFonts w:cs="Times New Roman" w:ascii="Times New Roman" w:hAnsi="Times New Roman"/>
          <w:sz w:val="24"/>
          <w:szCs w:val="24"/>
        </w:rPr>
        <w:t>Pismena opomena,</w:t>
      </w:r>
    </w:p>
    <w:p>
      <w:pPr>
        <w:pStyle w:val="ListParagraph"/>
        <w:numPr>
          <w:ilvl w:val="0"/>
          <w:numId w:val="3"/>
        </w:numPr>
        <w:spacing w:before="0" w:after="0"/>
        <w:ind w:left="0" w:hanging="360"/>
        <w:contextualSpacing/>
        <w:rPr>
          <w:rFonts w:ascii="Times New Roman" w:hAnsi="Times New Roman" w:cs="Times New Roman"/>
          <w:sz w:val="24"/>
          <w:szCs w:val="24"/>
        </w:rPr>
      </w:pPr>
      <w:r>
        <w:rPr>
          <w:rFonts w:cs="Times New Roman" w:ascii="Times New Roman" w:hAnsi="Times New Roman"/>
          <w:sz w:val="24"/>
          <w:szCs w:val="24"/>
        </w:rPr>
        <w:t>Sporazum o obročnoj otplati duga,</w:t>
      </w:r>
    </w:p>
    <w:p>
      <w:pPr>
        <w:pStyle w:val="ListParagraph"/>
        <w:numPr>
          <w:ilvl w:val="0"/>
          <w:numId w:val="3"/>
        </w:numPr>
        <w:spacing w:before="0" w:after="0"/>
        <w:ind w:left="0" w:hanging="360"/>
        <w:contextualSpacing/>
        <w:rPr>
          <w:rFonts w:ascii="Times New Roman" w:hAnsi="Times New Roman" w:cs="Times New Roman"/>
          <w:sz w:val="24"/>
          <w:szCs w:val="24"/>
        </w:rPr>
      </w:pPr>
      <w:r>
        <w:rPr>
          <w:rFonts w:cs="Times New Roman" w:ascii="Times New Roman" w:hAnsi="Times New Roman"/>
          <w:sz w:val="24"/>
          <w:szCs w:val="24"/>
        </w:rPr>
        <w:t>Naplata putem instrumenata osiguranja plaćanja,</w:t>
      </w:r>
    </w:p>
    <w:p>
      <w:pPr>
        <w:pStyle w:val="ListParagraph"/>
        <w:numPr>
          <w:ilvl w:val="0"/>
          <w:numId w:val="3"/>
        </w:numPr>
        <w:spacing w:before="0" w:after="0"/>
        <w:ind w:left="0" w:hanging="360"/>
        <w:contextualSpacing/>
        <w:rPr>
          <w:rFonts w:ascii="Times New Roman" w:hAnsi="Times New Roman" w:cs="Times New Roman"/>
          <w:sz w:val="24"/>
          <w:szCs w:val="24"/>
        </w:rPr>
      </w:pPr>
      <w:r>
        <w:rPr>
          <w:rFonts w:cs="Times New Roman" w:ascii="Times New Roman" w:hAnsi="Times New Roman"/>
          <w:sz w:val="24"/>
          <w:szCs w:val="24"/>
        </w:rPr>
        <w:t>Pokretanje ovršnog postupka.</w:t>
      </w:r>
    </w:p>
    <w:p>
      <w:pPr>
        <w:pStyle w:val="ListParagraph"/>
        <w:spacing w:before="0" w:after="0"/>
        <w:ind w:left="0" w:hanging="0"/>
        <w:contextualSpacing/>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4.</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 xml:space="preserve">Dužnik ima mogućnost podnijeti zahtjev za obročnu otplatu duga ako se time bitno poboljšavaju mogućnosti naplate duga dužnika od kojeg inače ne bi bilo moguće naplatiti cjelokupni dug. </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Rok na koji se može odobriti obročna otplata duga ne može biti duži od 6 mjeseci za dugovanja do vrijednosti od 1.000,00 kn, te 12 mjeseci za dugovanja vrijednosti preko 1.000,00 kn.</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Zahtjev za obročnu otplatu duga podnosi se Jedinstvenom upravnom odjelu Općine Negoslavci, koji zahtjev obrađuje te sastavlja prijedlog za postupanje.</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Zahtjev za obročnu otplatu duga, dužnik treba obrazložiti te predložiti dinamiku otplate duga.</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ab/>
        <w:t>Obrazac zahtjeva za obročnu otplatu duga sastavni je dio ovoga Pravilnika.</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ListParagraph"/>
        <w:numPr>
          <w:ilvl w:val="0"/>
          <w:numId w:val="2"/>
        </w:numPr>
        <w:spacing w:before="0" w:after="0"/>
        <w:ind w:left="0" w:hanging="360"/>
        <w:contextualSpacing/>
        <w:rPr>
          <w:rFonts w:ascii="Times New Roman" w:hAnsi="Times New Roman" w:cs="Times New Roman"/>
          <w:b/>
          <w:b/>
          <w:bCs/>
          <w:sz w:val="24"/>
          <w:szCs w:val="24"/>
        </w:rPr>
      </w:pPr>
      <w:r>
        <w:rPr>
          <w:rFonts w:cs="Times New Roman" w:ascii="Times New Roman" w:hAnsi="Times New Roman"/>
          <w:b/>
          <w:bCs/>
          <w:sz w:val="24"/>
          <w:szCs w:val="24"/>
        </w:rPr>
        <w:t>OTPIS POTRAŽIVANJA</w:t>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5.</w:t>
      </w:r>
    </w:p>
    <w:p>
      <w:pPr>
        <w:pStyle w:val="Normal"/>
        <w:spacing w:before="0" w:after="0"/>
        <w:ind w:firstLine="708"/>
        <w:rPr>
          <w:rFonts w:ascii="Times New Roman" w:hAnsi="Times New Roman" w:cs="Times New Roman"/>
          <w:sz w:val="24"/>
          <w:szCs w:val="24"/>
        </w:rPr>
      </w:pPr>
      <w:r>
        <w:rPr>
          <w:rFonts w:cs="Times New Roman" w:ascii="Times New Roman" w:hAnsi="Times New Roman"/>
          <w:sz w:val="24"/>
          <w:szCs w:val="24"/>
        </w:rPr>
        <w:t>Postupak otpisa potraživanja pokreće se na zahtjev dužnika ili po službenoj dužnosti.</w:t>
      </w:r>
    </w:p>
    <w:p>
      <w:pPr>
        <w:pStyle w:val="Normal"/>
        <w:spacing w:before="0" w:after="0"/>
        <w:ind w:firstLine="708"/>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6.</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 xml:space="preserve">Zahtjev dužnika za otpis dospjelog duga podnosi se Jedinstvenom upravnom odjelu Općine Negoslavci. </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 xml:space="preserve">Zahtjev dužnika mora biti obrazložen i podnesen u pisanom obliku.  </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Podnositelj zahtjeva obvezan je uz zahtjev priložiti dokaze na temelju kojih se mogu utvrditi činjenice o ispunjenju uvjeta za otpis duga.</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7.</w:t>
      </w:r>
    </w:p>
    <w:p>
      <w:pPr>
        <w:pStyle w:val="Normal"/>
        <w:spacing w:before="0" w:after="0"/>
        <w:ind w:firstLine="708"/>
        <w:rPr>
          <w:rFonts w:ascii="Times New Roman" w:hAnsi="Times New Roman" w:cs="Times New Roman"/>
          <w:sz w:val="24"/>
          <w:szCs w:val="24"/>
        </w:rPr>
      </w:pPr>
      <w:r>
        <w:rPr>
          <w:rFonts w:cs="Times New Roman" w:ascii="Times New Roman" w:hAnsi="Times New Roman"/>
          <w:sz w:val="24"/>
          <w:szCs w:val="24"/>
        </w:rPr>
        <w:t>Otpis potraživanja i obveza iz članka 1. ovog Pravilnika obavlja se po sljedećim kriterijima i uvjetima:</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godine dospjelosti,</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nemogućnosti naplate,</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neutemeljenosti evidentiranih potraživanja,</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isplativosti pokretanja postupka,</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ostalih posebnih okolnosti od utjecaja na potraživanja.</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8.</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Otpis potraživanja (kao nenaplativa) vršit će se u sljedećim slučajevima:</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ako bi izvršenje naplate duga dovelo u pitanje osnovne životne potrebe dužnika i članove njegova kućanstva, dug se može iznimno na njegov zahtjev otpisati u cijelosti ili djelomično (kada ukupni dohodak i ukupni primici podnositelja zahtjeva i punoljetnih članova njegovog kućanstva mjesečno ne prelaze po kućanstvu iznos od jedne proračunske osnovice o čemu podnositelj zahtjeva prilaže kao dokaz Potvrdu o visini dohotka Porezne uprave ne stariju od 6 mjeseci),</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ako su dužnici-fizičke osobe korisnici zajamčene minimalne naknade od strane Centra za socijalnu skrb (Status korisnika zajamčene minimalne naknade dužnici dokazuju Rješenjem nadležnog centra za socijalnu skrb koje ne smije biti starije od 6 mjeseci),</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kada se utvrdi da je dužnik umro temeljem izvatka iz matične knjige umrlih i kada se utvrdi da nije ostavio pokretnina i nekretnina iz kojih se dug može naplatiti temeljem potvrde suda ili javnog bilježnika da ostavinski postupak nije u tijeku te da nema nasljednika,</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kada se utvrdi da su potraživanja nenaplativa uslijed nastupanja zastare sukladno važećim zakonskim propisima, a dužnik je istakao prigovor zastare,  </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kada se utvrdi da su iznosi potraživanja preniski za pokretanje postupka ovrhe i pokriće sudskih troškova odnosno da bi troškovi naplate potraživanja bili u nerazmjeru s visinom potraživanja,</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kada se utvrdi da su potraživanja nenaplativa temeljem pravomoćne odluke nadležnog suda odnosno drugog nadležnog tijela,</w:t>
      </w:r>
    </w:p>
    <w:p>
      <w:pPr>
        <w:pStyle w:val="Normal"/>
        <w:spacing w:before="0" w:after="0"/>
        <w:jc w:val="both"/>
        <w:rPr>
          <w:rFonts w:ascii="Times New Roman" w:hAnsi="Times New Roman" w:cs="Times New Roman"/>
          <w:color w:val="FF0000"/>
          <w:sz w:val="24"/>
          <w:szCs w:val="24"/>
        </w:rPr>
      </w:pPr>
      <w:r>
        <w:rPr>
          <w:rFonts w:cs="Times New Roman" w:ascii="Times New Roman" w:hAnsi="Times New Roman"/>
          <w:sz w:val="24"/>
          <w:szCs w:val="24"/>
        </w:rPr>
        <w:t>- kada se utvrdi da su potraživanja nenaplativa, jer su u postupcima stečajeva i likvidacija pravomoćnim rješenjem nadležnog suda pravne osobe brisane iz sudskog registra,</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kada se utvrdi da potraživanja nemaju valjani pravni temelj, u svim drugim slučajevima  sukladno propisima i donesenim aktima Općine Negoslavci koji nisu prethodno navedeni.</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9.</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Postupak otpisa potraživanja pokreće Jedinstveni upravni odjel Općine Negoslavci po potrebi tijekom godine, a sve u skladu sa provedenim redovitim godišnjeg popisa imovine, obveza i potraživanja Općine Negoslavci.</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xml:space="preserve">U postupku otpisa potraživanja uzima se u obzir sljedeća dokumentacija: </w:t>
      </w:r>
    </w:p>
    <w:p>
      <w:pPr>
        <w:pStyle w:val="ListParagraph"/>
        <w:numPr>
          <w:ilvl w:val="0"/>
          <w:numId w:val="4"/>
        </w:numPr>
        <w:spacing w:before="0" w:after="0"/>
        <w:ind w:left="0" w:hanging="360"/>
        <w:contextualSpacing/>
        <w:jc w:val="both"/>
        <w:rPr>
          <w:rFonts w:ascii="Times New Roman" w:hAnsi="Times New Roman" w:cs="Times New Roman"/>
          <w:sz w:val="24"/>
          <w:szCs w:val="24"/>
        </w:rPr>
      </w:pPr>
      <w:r>
        <w:rPr>
          <w:rFonts w:cs="Times New Roman" w:ascii="Times New Roman" w:hAnsi="Times New Roman"/>
          <w:sz w:val="24"/>
          <w:szCs w:val="24"/>
        </w:rPr>
        <w:t xml:space="preserve">analitički knjigovodstveni podaci, </w:t>
      </w:r>
    </w:p>
    <w:p>
      <w:pPr>
        <w:pStyle w:val="ListParagraph"/>
        <w:numPr>
          <w:ilvl w:val="0"/>
          <w:numId w:val="4"/>
        </w:numPr>
        <w:spacing w:before="0" w:after="0"/>
        <w:ind w:left="0" w:hanging="360"/>
        <w:contextualSpacing/>
        <w:jc w:val="both"/>
        <w:rPr>
          <w:rFonts w:ascii="Times New Roman" w:hAnsi="Times New Roman" w:cs="Times New Roman"/>
          <w:sz w:val="24"/>
          <w:szCs w:val="24"/>
        </w:rPr>
      </w:pPr>
      <w:r>
        <w:rPr>
          <w:rFonts w:cs="Times New Roman" w:ascii="Times New Roman" w:hAnsi="Times New Roman"/>
          <w:sz w:val="24"/>
          <w:szCs w:val="24"/>
        </w:rPr>
        <w:t xml:space="preserve">pravomoćna rješenja i odluke suda ili drugog nadležnog tijela, </w:t>
      </w:r>
    </w:p>
    <w:p>
      <w:pPr>
        <w:pStyle w:val="ListParagraph"/>
        <w:numPr>
          <w:ilvl w:val="0"/>
          <w:numId w:val="4"/>
        </w:numPr>
        <w:spacing w:before="0" w:after="0"/>
        <w:ind w:left="0" w:hanging="360"/>
        <w:contextualSpacing/>
        <w:jc w:val="both"/>
        <w:rPr>
          <w:rFonts w:ascii="Times New Roman" w:hAnsi="Times New Roman" w:cs="Times New Roman"/>
          <w:sz w:val="24"/>
          <w:szCs w:val="24"/>
        </w:rPr>
      </w:pPr>
      <w:r>
        <w:rPr>
          <w:rFonts w:cs="Times New Roman" w:ascii="Times New Roman" w:hAnsi="Times New Roman"/>
          <w:sz w:val="24"/>
          <w:szCs w:val="24"/>
        </w:rPr>
        <w:t xml:space="preserve">interni akti Općine Negoslavci, </w:t>
      </w:r>
    </w:p>
    <w:p>
      <w:pPr>
        <w:pStyle w:val="ListParagraph"/>
        <w:numPr>
          <w:ilvl w:val="0"/>
          <w:numId w:val="4"/>
        </w:numPr>
        <w:spacing w:before="0" w:after="0"/>
        <w:ind w:left="0" w:hanging="360"/>
        <w:contextualSpacing/>
        <w:jc w:val="both"/>
        <w:rPr>
          <w:rFonts w:ascii="Times New Roman" w:hAnsi="Times New Roman" w:cs="Times New Roman"/>
          <w:sz w:val="24"/>
          <w:szCs w:val="24"/>
        </w:rPr>
      </w:pPr>
      <w:r>
        <w:rPr>
          <w:rFonts w:cs="Times New Roman" w:ascii="Times New Roman" w:hAnsi="Times New Roman"/>
          <w:sz w:val="24"/>
          <w:szCs w:val="24"/>
        </w:rPr>
        <w:t xml:space="preserve">službene zabilješke o neutemeljenosti potraživanja, </w:t>
      </w:r>
    </w:p>
    <w:p>
      <w:pPr>
        <w:pStyle w:val="ListParagraph"/>
        <w:numPr>
          <w:ilvl w:val="0"/>
          <w:numId w:val="4"/>
        </w:numPr>
        <w:spacing w:before="0" w:after="0"/>
        <w:ind w:left="0" w:hanging="360"/>
        <w:contextualSpacing/>
        <w:jc w:val="both"/>
        <w:rPr>
          <w:rFonts w:ascii="Times New Roman" w:hAnsi="Times New Roman" w:cs="Times New Roman"/>
          <w:sz w:val="24"/>
          <w:szCs w:val="24"/>
        </w:rPr>
      </w:pPr>
      <w:r>
        <w:rPr>
          <w:rFonts w:cs="Times New Roman" w:ascii="Times New Roman" w:hAnsi="Times New Roman"/>
          <w:sz w:val="24"/>
          <w:szCs w:val="24"/>
        </w:rPr>
        <w:t xml:space="preserve">prigovor zastare, </w:t>
      </w:r>
    </w:p>
    <w:p>
      <w:pPr>
        <w:pStyle w:val="ListParagraph"/>
        <w:numPr>
          <w:ilvl w:val="0"/>
          <w:numId w:val="4"/>
        </w:numPr>
        <w:spacing w:before="0" w:after="0"/>
        <w:ind w:left="0" w:hanging="360"/>
        <w:contextualSpacing/>
        <w:jc w:val="both"/>
        <w:rPr>
          <w:rFonts w:ascii="Times New Roman" w:hAnsi="Times New Roman" w:cs="Times New Roman"/>
          <w:sz w:val="24"/>
          <w:szCs w:val="24"/>
        </w:rPr>
      </w:pPr>
      <w:r>
        <w:rPr>
          <w:rFonts w:cs="Times New Roman" w:ascii="Times New Roman" w:hAnsi="Times New Roman"/>
          <w:sz w:val="24"/>
          <w:szCs w:val="24"/>
        </w:rPr>
        <w:t xml:space="preserve">evidencije o pokrenutim postupcima naplate, </w:t>
      </w:r>
    </w:p>
    <w:p>
      <w:pPr>
        <w:pStyle w:val="ListParagraph"/>
        <w:numPr>
          <w:ilvl w:val="0"/>
          <w:numId w:val="4"/>
        </w:numPr>
        <w:spacing w:before="0" w:after="0"/>
        <w:ind w:left="0" w:hanging="360"/>
        <w:contextualSpacing/>
        <w:jc w:val="both"/>
        <w:rPr>
          <w:rFonts w:ascii="Times New Roman" w:hAnsi="Times New Roman" w:cs="Times New Roman"/>
          <w:sz w:val="24"/>
          <w:szCs w:val="24"/>
        </w:rPr>
      </w:pPr>
      <w:r>
        <w:rPr>
          <w:rFonts w:cs="Times New Roman" w:ascii="Times New Roman" w:hAnsi="Times New Roman"/>
          <w:sz w:val="24"/>
          <w:szCs w:val="24"/>
        </w:rPr>
        <w:t>kao i sva druga dokumentacija potrebna za utvrđivanje činjenica bitnih za donošenje prijedloga za otpis.</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Jedinstveni upravni odjel Općine Negoslavci u postupku otpisa potraživanja utvrđuje:</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ispunjenje uvjeta za otpis odnosno razloge otpisa,</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poduzete mjere pri naplati pojedinih vrsta potraživanja (opomena, tužba, ovrha i sl.),</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opravdanost daljnjih troškova s obzirom na visinu potraživanja,</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pravnu utemeljenost otpisa,</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iznos otpisa po dužniku, po vrsti prihoda odnosno obveza.</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10.</w:t>
      </w:r>
    </w:p>
    <w:p>
      <w:pPr>
        <w:pStyle w:val="Normal"/>
        <w:spacing w:before="0" w:after="0"/>
        <w:ind w:firstLine="708"/>
        <w:jc w:val="both"/>
        <w:rPr>
          <w:rFonts w:ascii="Times New Roman" w:hAnsi="Times New Roman" w:cs="Times New Roman"/>
          <w:sz w:val="24"/>
          <w:szCs w:val="24"/>
        </w:rPr>
      </w:pPr>
      <w:r>
        <w:rPr>
          <w:rFonts w:cs="Times New Roman" w:ascii="Times New Roman" w:hAnsi="Times New Roman"/>
          <w:sz w:val="24"/>
          <w:szCs w:val="24"/>
        </w:rPr>
        <w:t xml:space="preserve">Odluku o otpisu potraživanja, na prijedlog Jedinstvenog upravnog odjela Općine Negoslavci, donosi Općinski načelnik (za otpis potraživanja do 500.000,00 kn), odnosno Općinsko vijeće (za otpis potraživanja preko 500.000,00 kn) sukladno zakonskim propisima. </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ab/>
        <w:t>Ukoliko je fizičkoj osobi – građaninu odobren otpis duga, bez obzira na osnovu nastanka, slijedeći zahtjev za otpis duga ne može podnijeti prije proteka roka od 5 godina od donošenja akta o otpisu potraživanja za prethodni dug.</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11.</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ab/>
        <w:t>Za dospjela, nenaplaćena potraživanja od pravnih osoba odnosno fizičkih osoba koje obavljaju registriranu djelatnost (obrtnici i sl.) Jedinstveni upravni odjel podnosi prijedlog ispravka vrijednosti i otpisa potraživanja, a što se provodi direktno umanjenjem knjigovodstvenih vrijednosti potraživanja i vlastitih izvora sukladno važećem Pravilniku o proračunskom računovodstvu i računskom planu.</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ab/>
        <w:t>Otpis duga definiran u stavku 1. ovoga članka provodi se za sva potraživanja koja se nisu uspjela naplatiti ni u postupku ovrhe u slučaju da:</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w:t>
        <w:tab/>
        <w:t>Postoji pravomoćno Rješenje o zaklj</w:t>
      </w:r>
      <w:bookmarkStart w:id="0" w:name="_GoBack"/>
      <w:bookmarkEnd w:id="0"/>
      <w:r>
        <w:rPr>
          <w:rFonts w:cs="Times New Roman" w:ascii="Times New Roman" w:hAnsi="Times New Roman"/>
          <w:sz w:val="24"/>
          <w:szCs w:val="24"/>
        </w:rPr>
        <w:t>učenju stečajnog postupka nad pravnom osobom, a ne postoji osiguranje duga po osnovi jamstva,</w:t>
      </w:r>
    </w:p>
    <w:p>
      <w:pPr>
        <w:pStyle w:val="Normal"/>
        <w:spacing w:before="0" w:after="0"/>
        <w:jc w:val="both"/>
        <w:rPr>
          <w:rFonts w:ascii="Times New Roman" w:hAnsi="Times New Roman" w:cs="Times New Roman"/>
          <w:color w:val="FF0000"/>
          <w:sz w:val="24"/>
          <w:szCs w:val="24"/>
        </w:rPr>
      </w:pPr>
      <w:r>
        <w:rPr>
          <w:rFonts w:cs="Times New Roman" w:ascii="Times New Roman" w:hAnsi="Times New Roman"/>
          <w:sz w:val="24"/>
          <w:szCs w:val="24"/>
        </w:rPr>
        <w:t>-</w:t>
        <w:tab/>
        <w:t xml:space="preserve">Postoji pravomoćno Rješenje o brisanju iz obrtnog ili bilo kojeg drugog registra, a ne postoji osiguranje duga po osnovi poreznog jamstva, </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w:t>
        <w:tab/>
        <w:t>Postoji pravomoćno Rješenje o sklopljenoj predstečajnoj nagodbi kojom je utvrđeno da se dug otpisuje.</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12.</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Za provedbu ovog Pravilnika nadležan je Jedinstveni upravni odjel Općine Negoslavci  koji postupak otpisa potraživanja po potrebi pokreće i tijekom godine kao i prilikom provođenja redovnog godišnjeg popisa na dan 31. prosinca tekuće godine.</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13.</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Jedinstveni upravni odjel Općine Negoslavci je dužan kontinuirano pratiti stanje i poduzimati mjere naplate potraživanja, te godišnje sastavljati izvješća o poduzetim mjerama za naplatu potraživanja.</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xml:space="preserve">Izvješće mora sadržavati iznos dospjelog a nenaplaćenog potraživanja, dospjelost potraživanja, broj opomena, te ostale podatke sukladno zahtjevu općinskog načelnika i općinskog vijeća. </w:t>
      </w:r>
    </w:p>
    <w:p>
      <w:pPr>
        <w:pStyle w:val="Normal"/>
        <w:spacing w:before="0" w:after="0"/>
        <w:jc w:val="both"/>
        <w:rPr>
          <w:rFonts w:ascii="Times New Roman" w:hAnsi="Times New Roman" w:cs="Times New Roman"/>
          <w:color w:val="FF0000"/>
          <w:sz w:val="24"/>
          <w:szCs w:val="24"/>
        </w:rPr>
      </w:pPr>
      <w:r>
        <w:rPr>
          <w:rFonts w:cs="Times New Roman" w:ascii="Times New Roman" w:hAnsi="Times New Roman"/>
          <w:color w:val="FF0000"/>
          <w:sz w:val="24"/>
          <w:szCs w:val="24"/>
        </w:rPr>
      </w:r>
    </w:p>
    <w:p>
      <w:pPr>
        <w:pStyle w:val="Normal"/>
        <w:spacing w:before="0" w:after="0"/>
        <w:jc w:val="center"/>
        <w:rPr>
          <w:rFonts w:ascii="Times New Roman" w:hAnsi="Times New Roman" w:cs="Times New Roman"/>
          <w:b/>
          <w:b/>
          <w:bCs/>
          <w:sz w:val="24"/>
          <w:szCs w:val="24"/>
        </w:rPr>
      </w:pPr>
      <w:r>
        <w:rPr>
          <w:rFonts w:cs="Times New Roman" w:ascii="Times New Roman" w:hAnsi="Times New Roman"/>
          <w:b/>
          <w:bCs/>
          <w:sz w:val="24"/>
          <w:szCs w:val="24"/>
        </w:rPr>
        <w:t>Članak 14.</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Ovaj Pravilnik stupa na snagu osam dana od dana objave u Službenom glasniku Općine Negoslavci.</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right"/>
        <w:rPr>
          <w:rFonts w:ascii="Times New Roman" w:hAnsi="Times New Roman" w:cs="Times New Roman"/>
          <w:b/>
          <w:b/>
          <w:bCs/>
          <w:sz w:val="24"/>
          <w:szCs w:val="24"/>
        </w:rPr>
      </w:pPr>
      <w:r>
        <w:rPr>
          <w:rFonts w:cs="Times New Roman" w:ascii="Times New Roman" w:hAnsi="Times New Roman"/>
          <w:b/>
          <w:bCs/>
          <w:sz w:val="24"/>
          <w:szCs w:val="24"/>
        </w:rPr>
        <w:t>OPĆINSKI NAČELNIK</w:t>
      </w:r>
    </w:p>
    <w:p>
      <w:pPr>
        <w:pStyle w:val="Normal"/>
        <w:spacing w:before="0" w:after="0"/>
        <w:jc w:val="right"/>
        <w:rPr>
          <w:rFonts w:ascii="Times New Roman" w:hAnsi="Times New Roman" w:cs="Times New Roman"/>
          <w:sz w:val="24"/>
          <w:szCs w:val="24"/>
        </w:rPr>
      </w:pPr>
      <w:r>
        <w:rPr>
          <w:rFonts w:cs="Times New Roman" w:ascii="Times New Roman" w:hAnsi="Times New Roman"/>
          <w:sz w:val="24"/>
          <w:szCs w:val="24"/>
        </w:rPr>
        <w:t>Dušan Jeckov</w:t>
      </w:r>
    </w:p>
    <w:sectPr>
      <w:footerReference w:type="default" r:id="rId3"/>
      <w:type w:val="nextPage"/>
      <w:pgSz w:w="11906" w:h="16838"/>
      <w:pgMar w:left="1440" w:right="1440" w:gutter="0" w:header="0" w:top="1440" w:footer="708" w:bottom="1843"/>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Liberation Sans">
    <w:altName w:val="Arial"/>
    <w:charset w:val="ee"/>
    <w:family w:val="swiss"/>
    <w:pitch w:val="variable"/>
  </w:font>
  <w:font w:name="Times New Roman">
    <w:charset w:val="ee"/>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Bottom of Page)"/>
        <w:docPartUnique w:val="true"/>
      </w:docPartObj>
      <w:id w:val="643701742"/>
    </w:sdtPr>
    <w:sdtContent>
      <w:p>
        <w:pPr>
          <w:pStyle w:val="Podnoje"/>
          <w:jc w:val="center"/>
          <w:rPr/>
        </w:pPr>
        <w:r>
          <w:rPr/>
          <w:fldChar w:fldCharType="begin"/>
        </w:r>
        <w:r>
          <w:rPr/>
          <w:instrText xml:space="preserve"> PAGE </w:instrText>
        </w:r>
        <w:r>
          <w:rPr/>
          <w:fldChar w:fldCharType="separate"/>
        </w:r>
        <w:r>
          <w:rPr/>
          <w:t>4</w:t>
        </w:r>
        <w:r>
          <w:rPr/>
          <w:fldChar w:fldCharType="end"/>
        </w:r>
      </w:p>
    </w:sdtContent>
  </w:sdt>
  <w:p>
    <w:pPr>
      <w:pStyle w:val="Podnoje"/>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upperRoman"/>
      <w:lvlText w:val="%1."/>
      <w:lvlJc w:val="righ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4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hr-H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hr-HR"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hr-HR" w:eastAsia="en-US" w:bidi="ar-SA"/>
    </w:rPr>
  </w:style>
  <w:style w:type="character" w:styleId="DefaultParagraphFont" w:default="1">
    <w:name w:val="Default Paragraph Font"/>
    <w:uiPriority w:val="1"/>
    <w:semiHidden/>
    <w:unhideWhenUsed/>
    <w:qFormat/>
    <w:rPr/>
  </w:style>
  <w:style w:type="character" w:styleId="ZaglavljeChar" w:customStyle="1">
    <w:name w:val="Zaglavlje Char"/>
    <w:basedOn w:val="DefaultParagraphFont"/>
    <w:uiPriority w:val="99"/>
    <w:qFormat/>
    <w:rsid w:val="00385122"/>
    <w:rPr/>
  </w:style>
  <w:style w:type="character" w:styleId="PodnojeChar" w:customStyle="1">
    <w:name w:val="Podnožje Char"/>
    <w:basedOn w:val="DefaultParagraphFont"/>
    <w:uiPriority w:val="99"/>
    <w:qFormat/>
    <w:rsid w:val="00385122"/>
    <w:rPr/>
  </w:style>
  <w:style w:type="paragraph" w:styleId="Stilnaslova">
    <w:name w:val="Stil naslova"/>
    <w:basedOn w:val="Normal"/>
    <w:next w:val="Tijeloteksta"/>
    <w:qFormat/>
    <w:pPr>
      <w:keepNext w:val="true"/>
      <w:spacing w:before="240" w:after="120"/>
    </w:pPr>
    <w:rPr>
      <w:rFonts w:ascii="Liberation Sans" w:hAnsi="Liberation Sans" w:eastAsia="Microsoft YaHei" w:cs="Arial"/>
      <w:sz w:val="28"/>
      <w:szCs w:val="28"/>
    </w:rPr>
  </w:style>
  <w:style w:type="paragraph" w:styleId="Tijeloteksta">
    <w:name w:val="Body Text"/>
    <w:basedOn w:val="Normal"/>
    <w:pPr>
      <w:spacing w:lineRule="auto" w:line="276" w:before="0" w:after="140"/>
    </w:pPr>
    <w:rPr/>
  </w:style>
  <w:style w:type="paragraph" w:styleId="Popis">
    <w:name w:val="List"/>
    <w:basedOn w:val="Tijeloteksta"/>
    <w:pPr/>
    <w:rPr>
      <w:rFonts w:cs="Arial"/>
    </w:rPr>
  </w:style>
  <w:style w:type="paragraph" w:styleId="Opiselementa">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lang w:val="zxx" w:eastAsia="zxx" w:bidi="zxx"/>
    </w:rPr>
  </w:style>
  <w:style w:type="paragraph" w:styleId="ListParagraph">
    <w:name w:val="List Paragraph"/>
    <w:basedOn w:val="Normal"/>
    <w:uiPriority w:val="34"/>
    <w:qFormat/>
    <w:rsid w:val="001f0888"/>
    <w:pPr>
      <w:spacing w:before="0" w:after="160"/>
      <w:ind w:left="720" w:hanging="0"/>
      <w:contextualSpacing/>
    </w:pPr>
    <w:rPr/>
  </w:style>
  <w:style w:type="paragraph" w:styleId="Zaglavljeipodnoje">
    <w:name w:val="Zaglavlje i podnožje"/>
    <w:basedOn w:val="Normal"/>
    <w:qFormat/>
    <w:pPr/>
    <w:rPr/>
  </w:style>
  <w:style w:type="paragraph" w:styleId="Zaglavlje">
    <w:name w:val="Header"/>
    <w:basedOn w:val="Normal"/>
    <w:link w:val="ZaglavljeChar"/>
    <w:uiPriority w:val="99"/>
    <w:unhideWhenUsed/>
    <w:rsid w:val="00385122"/>
    <w:pPr>
      <w:tabs>
        <w:tab w:val="clear" w:pos="708"/>
        <w:tab w:val="center" w:pos="4680" w:leader="none"/>
        <w:tab w:val="right" w:pos="9360" w:leader="none"/>
      </w:tabs>
      <w:spacing w:lineRule="auto" w:line="240" w:before="0" w:after="0"/>
    </w:pPr>
    <w:rPr/>
  </w:style>
  <w:style w:type="paragraph" w:styleId="Podnoje">
    <w:name w:val="Footer"/>
    <w:basedOn w:val="Normal"/>
    <w:link w:val="PodnojeChar"/>
    <w:uiPriority w:val="99"/>
    <w:unhideWhenUsed/>
    <w:rsid w:val="00385122"/>
    <w:pPr>
      <w:tabs>
        <w:tab w:val="clear" w:pos="708"/>
        <w:tab w:val="center" w:pos="4680" w:leader="none"/>
        <w:tab w:val="right" w:pos="9360" w:leader="none"/>
      </w:tabs>
      <w:spacing w:lineRule="auto" w:line="240" w:before="0" w:after="0"/>
    </w:pPr>
    <w:rPr/>
  </w:style>
  <w:style w:type="numbering" w:styleId="NoList" w:default="1">
    <w:name w:val="No List"/>
    <w:uiPriority w:val="99"/>
    <w:semiHidden/>
    <w:unhideWhenUsed/>
    <w:qFormat/>
  </w:style>
  <w:style w:type="table" w:default="1" w:styleId="Obinatablica">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Application>LibreOffice/7.4.1.2$Windows_X86_64 LibreOffice_project/3c58a8f3a960df8bc8fd77b461821e42c061c5f0</Application>
  <AppVersion>15.0000</AppVersion>
  <Pages>6</Pages>
  <Words>1252</Words>
  <Characters>7568</Characters>
  <CharactersWithSpaces>8792</CharactersWithSpaces>
  <Paragraphs>91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2022-02-03T13:27:00Z</dcterms:created>
  <dc:creator>Korisnik</dc:creator>
  <dc:description/>
  <dc:language>hr-HR</dc:language>
  <cp:lastModifiedBy>Korisnik</cp:lastModifiedBy>
  <dcterms:modified xsi:type="dcterms:W3CDTF">2022-02-03T13:27:00Z</dcterms:modified>
  <cp:revision>2</cp:revision>
  <dc:subject/>
  <dc:title/>
</cp:coreProperties>
</file>

<file path=docProps/custom.xml><?xml version="1.0" encoding="utf-8"?>
<Properties xmlns="http://schemas.openxmlformats.org/officeDocument/2006/custom-properties" xmlns:vt="http://schemas.openxmlformats.org/officeDocument/2006/docPropsVTypes"/>
</file>