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  <w:t>REPUBLIKA HRVATSKA</w:t>
      </w:r>
    </w:p>
    <w:p>
      <w:pPr>
        <w:pStyle w:val="Normal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VUKOVARSKO SRIJEMSKA ŽUPANIJA</w:t>
        <w:br/>
        <w:t>OPĆINA NEGOSLAVCI</w:t>
      </w:r>
    </w:p>
    <w:p>
      <w:pPr>
        <w:pStyle w:val="Normal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Općinski načelnik</w:t>
      </w:r>
    </w:p>
    <w:p>
      <w:pPr>
        <w:pStyle w:val="Normal"/>
        <w:jc w:val="both"/>
        <w:rPr>
          <w:rFonts w:eastAsia="Calibri" w:cs="Times New Roman"/>
          <w:bCs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KLA</w:t>
      </w:r>
      <w:r>
        <w:rPr>
          <w:rFonts w:eastAsia="Calibri" w:cs="Times New Roman"/>
          <w:b/>
          <w:color w:val="000000"/>
          <w:szCs w:val="24"/>
          <w:lang w:val="hr-HR"/>
        </w:rPr>
        <w:t xml:space="preserve">SA: </w:t>
      </w:r>
      <w:r>
        <w:rPr>
          <w:rFonts w:eastAsia="Calibri" w:cs="Times New Roman"/>
          <w:bCs/>
          <w:color w:val="000000"/>
          <w:szCs w:val="24"/>
          <w:lang w:val="hr-HR"/>
        </w:rPr>
        <w:t>400-04/2</w:t>
      </w:r>
      <w:r>
        <w:rPr>
          <w:rFonts w:eastAsia="Calibri" w:cs="Times New Roman"/>
          <w:bCs/>
          <w:color w:val="000000"/>
          <w:szCs w:val="24"/>
          <w:lang w:val="hr-HR"/>
        </w:rPr>
        <w:t>5</w:t>
      </w:r>
      <w:r>
        <w:rPr>
          <w:rFonts w:eastAsia="Calibri" w:cs="Times New Roman"/>
          <w:bCs/>
          <w:color w:val="000000"/>
          <w:szCs w:val="24"/>
          <w:lang w:val="hr-HR"/>
        </w:rPr>
        <w:t>-01/0</w:t>
      </w:r>
      <w:r>
        <w:rPr>
          <w:rFonts w:eastAsia="Calibri" w:cs="Times New Roman"/>
          <w:bCs/>
          <w:color w:val="000000"/>
          <w:szCs w:val="24"/>
          <w:lang w:val="hr-HR"/>
        </w:rPr>
        <w:t>3</w:t>
      </w:r>
    </w:p>
    <w:p>
      <w:pPr>
        <w:pStyle w:val="Normal"/>
        <w:jc w:val="both"/>
        <w:rPr>
          <w:color w:val="000000"/>
        </w:rPr>
      </w:pPr>
      <w:r>
        <w:rPr>
          <w:rFonts w:eastAsia="Calibri" w:cs="Times New Roman"/>
          <w:b/>
          <w:color w:val="000000"/>
          <w:szCs w:val="24"/>
          <w:lang w:val="hr-HR"/>
        </w:rPr>
        <w:t xml:space="preserve">URBROJ: </w:t>
      </w:r>
      <w:r>
        <w:rPr>
          <w:rFonts w:eastAsia="Calibri" w:cs="Times New Roman"/>
          <w:color w:val="000000"/>
          <w:szCs w:val="24"/>
          <w:lang w:val="hr-HR"/>
        </w:rPr>
        <w:t>2196-19-01-24-01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color w:val="000000"/>
          <w:szCs w:val="24"/>
          <w:lang w:val="hr-HR"/>
        </w:rPr>
        <w:t xml:space="preserve">Negoslavci, </w:t>
      </w:r>
      <w:r>
        <w:rPr>
          <w:rFonts w:eastAsia="Calibri" w:cs="Times New Roman"/>
          <w:b w:val="false"/>
          <w:bCs w:val="false"/>
          <w:color w:val="000000"/>
          <w:szCs w:val="24"/>
          <w:lang w:val="hr-HR"/>
        </w:rPr>
        <w:t xml:space="preserve">28. ožujka </w:t>
      </w:r>
      <w:r>
        <w:rPr>
          <w:rFonts w:eastAsia="Calibri" w:cs="Times New Roman"/>
          <w:szCs w:val="24"/>
          <w:lang w:val="hr-HR"/>
        </w:rPr>
        <w:t xml:space="preserve">2024. </w:t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</w:r>
      <w:r>
        <w:rPr>
          <w:rFonts w:eastAsia="Calibri" w:cs="Times New Roman"/>
          <w:szCs w:val="24"/>
          <w:lang w:val="hr-HR"/>
        </w:rPr>
        <w:t xml:space="preserve">Na temelju članka 32., stavka 2., točke 2. Statuta Općine Negoslavci („Službeni glasnik Općine Negoslavci“ broj 01/21, 07/23 i 09/24), Općinski načelnik Općine Negoslavci dana </w:t>
      </w:r>
      <w:r>
        <w:rPr>
          <w:rFonts w:eastAsia="Calibri" w:cs="Times New Roman"/>
          <w:b w:val="false"/>
          <w:bCs w:val="false"/>
          <w:color w:val="000000"/>
          <w:szCs w:val="24"/>
          <w:lang w:val="hr-HR"/>
        </w:rPr>
        <w:t>28.</w:t>
      </w:r>
      <w:r>
        <w:rPr>
          <w:rFonts w:eastAsia="Calibri" w:cs="Times New Roman"/>
          <w:color w:val="000000"/>
          <w:szCs w:val="24"/>
          <w:lang w:val="hr-HR"/>
        </w:rPr>
        <w:t>0</w:t>
      </w:r>
      <w:r>
        <w:rPr>
          <w:rFonts w:eastAsia="Calibri" w:cs="Times New Roman"/>
          <w:szCs w:val="24"/>
          <w:lang w:val="hr-HR"/>
        </w:rPr>
        <w:t>3.2025.  godine donosi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rFonts w:eastAsia="Calibri" w:cs="Times New Roman"/>
          <w:b/>
          <w:b/>
          <w:szCs w:val="24"/>
          <w:lang w:val="hr-HR"/>
        </w:rPr>
      </w:pPr>
      <w:bookmarkStart w:id="0" w:name="_Toc62727861"/>
      <w:r>
        <w:rPr>
          <w:rFonts w:eastAsia="Calibri" w:cs="Times New Roman"/>
          <w:b/>
          <w:szCs w:val="24"/>
          <w:lang w:val="hr-HR"/>
        </w:rPr>
        <w:t xml:space="preserve">Izvješće o izvršenju </w:t>
      </w:r>
      <w:bookmarkEnd w:id="0"/>
      <w:r>
        <w:rPr>
          <w:rFonts w:eastAsia="Calibri" w:cs="Times New Roman"/>
          <w:b/>
          <w:szCs w:val="24"/>
          <w:lang w:val="hr-HR"/>
        </w:rPr>
        <w:t>Programa financiranja udruga i općedruštvenih djelatnosti na području Općine Negoslavci u 2024. godini</w:t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1.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Utvrđuje se da je tijekom 2024. godine izvršen Program financiranja udruga i općedruštvenih djelatnosti na području Općine Negoslavci u 2024. godini kako slijedi.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>Prikaz planiranih sredstava i ostvarenja plana: Općinski proračun.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2.</w:t>
      </w:r>
    </w:p>
    <w:p>
      <w:pPr>
        <w:pStyle w:val="Normal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Prikaz planiranih i izvršenih sredstava iz Općinskog proračuna Općine Negoslavci.</w:t>
      </w:r>
    </w:p>
    <w:p>
      <w:pPr>
        <w:pStyle w:val="Normal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tbl>
      <w:tblPr>
        <w:tblW w:w="9443" w:type="dxa"/>
        <w:jc w:val="left"/>
        <w:tblInd w:w="1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74"/>
        <w:gridCol w:w="2118"/>
        <w:gridCol w:w="1851"/>
      </w:tblGrid>
      <w:tr>
        <w:trPr>
          <w:trHeight w:val="102" w:hRule="atLeast"/>
        </w:trPr>
        <w:tc>
          <w:tcPr>
            <w:tcW w:w="5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ndale Sans UI"/>
                <w:b/>
                <w:b/>
                <w:bCs/>
                <w:color w:val="000000"/>
                <w:szCs w:val="24"/>
                <w:lang w:val="hr-HR" w:eastAsia="ar-SA"/>
              </w:rPr>
            </w:pPr>
            <w:r>
              <w:rPr>
                <w:rFonts w:eastAsia="Andale Sans UI"/>
                <w:b/>
                <w:bCs/>
                <w:color w:val="000000"/>
                <w:szCs w:val="24"/>
                <w:lang w:val="hr-HR" w:eastAsia="ar-SA"/>
              </w:rPr>
              <w:t>NAZIV</w:t>
            </w:r>
          </w:p>
        </w:tc>
        <w:tc>
          <w:tcPr>
            <w:tcW w:w="2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ndale Sans UI"/>
                <w:b/>
                <w:b/>
                <w:bCs/>
                <w:szCs w:val="24"/>
                <w:lang w:val="hr-HR" w:eastAsia="ar-SA"/>
              </w:rPr>
            </w:pPr>
            <w:r>
              <w:rPr>
                <w:rFonts w:eastAsia="Andale Sans UI"/>
                <w:b/>
                <w:bCs/>
                <w:szCs w:val="24"/>
                <w:lang w:val="hr-HR" w:eastAsia="ar-SA"/>
              </w:rPr>
              <w:t>PLAN</w:t>
            </w:r>
          </w:p>
        </w:tc>
        <w:tc>
          <w:tcPr>
            <w:tcW w:w="1851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ndale Sans UI"/>
                <w:b/>
                <w:b/>
                <w:bCs/>
                <w:szCs w:val="24"/>
                <w:lang w:val="hr-HR" w:eastAsia="ar-SA"/>
              </w:rPr>
            </w:pPr>
            <w:r>
              <w:rPr>
                <w:rFonts w:eastAsia="Andale Sans UI"/>
                <w:b/>
                <w:bCs/>
                <w:szCs w:val="24"/>
                <w:lang w:val="hr-HR" w:eastAsia="ar-SA"/>
              </w:rPr>
              <w:t>OSTVARENO</w:t>
            </w:r>
          </w:p>
        </w:tc>
      </w:tr>
      <w:tr>
        <w:trPr>
          <w:trHeight w:val="102" w:hRule="atLeast"/>
        </w:trPr>
        <w:tc>
          <w:tcPr>
            <w:tcW w:w="5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ndale Sans UI"/>
                <w:color w:val="000000"/>
                <w:szCs w:val="24"/>
                <w:lang w:val="hr-HR" w:eastAsia="ar-SA"/>
              </w:rPr>
            </w:pPr>
            <w:r>
              <w:rPr>
                <w:rFonts w:eastAsia="Andale Sans UI"/>
                <w:color w:val="000000"/>
                <w:szCs w:val="24"/>
                <w:lang w:val="hr-HR" w:eastAsia="ar-SA"/>
              </w:rPr>
              <w:t>Zajedničko vijeće općina</w:t>
            </w:r>
          </w:p>
        </w:tc>
        <w:tc>
          <w:tcPr>
            <w:tcW w:w="2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ndale Sans UI"/>
                <w:b w:val="false"/>
                <w:bCs w:val="false"/>
                <w:sz w:val="24"/>
                <w:szCs w:val="24"/>
                <w:lang w:val="hr-HR" w:eastAsia="ar-SA"/>
              </w:rPr>
              <w:t>5.300,00</w:t>
            </w:r>
          </w:p>
        </w:tc>
        <w:tc>
          <w:tcPr>
            <w:tcW w:w="1851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ndale Sans UI"/>
                <w:b w:val="false"/>
                <w:bCs w:val="false"/>
                <w:sz w:val="24"/>
                <w:szCs w:val="24"/>
                <w:lang w:val="hr-HR" w:eastAsia="ar-SA"/>
              </w:rPr>
              <w:t>5.300,00</w:t>
            </w:r>
          </w:p>
        </w:tc>
      </w:tr>
      <w:tr>
        <w:trPr>
          <w:trHeight w:val="102" w:hRule="atLeast"/>
        </w:trPr>
        <w:tc>
          <w:tcPr>
            <w:tcW w:w="5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ndale Sans UI"/>
                <w:color w:val="000000"/>
                <w:szCs w:val="24"/>
                <w:lang w:val="hr-HR" w:eastAsia="ar-SA"/>
              </w:rPr>
            </w:pPr>
            <w:r>
              <w:rPr>
                <w:rFonts w:eastAsia="Andale Sans UI"/>
                <w:color w:val="000000"/>
                <w:szCs w:val="24"/>
                <w:lang w:val="hr-HR" w:eastAsia="ar-SA"/>
              </w:rPr>
              <w:t>Vjerske zajednice (kapitalne i tekuće donacije)</w:t>
            </w:r>
          </w:p>
        </w:tc>
        <w:tc>
          <w:tcPr>
            <w:tcW w:w="2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ndale Sans UI"/>
                <w:b w:val="false"/>
                <w:bCs w:val="false"/>
                <w:sz w:val="24"/>
                <w:szCs w:val="24"/>
                <w:lang w:val="hr-HR" w:eastAsia="ar-SA"/>
              </w:rPr>
              <w:t>12.700,00</w:t>
            </w:r>
          </w:p>
        </w:tc>
        <w:tc>
          <w:tcPr>
            <w:tcW w:w="1851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ndale Sans UI"/>
                <w:b w:val="false"/>
                <w:bCs w:val="false"/>
                <w:sz w:val="24"/>
                <w:szCs w:val="24"/>
                <w:lang w:val="hr-HR" w:eastAsia="ar-SA"/>
              </w:rPr>
              <w:t>700,00</w:t>
            </w:r>
          </w:p>
        </w:tc>
      </w:tr>
      <w:tr>
        <w:trPr>
          <w:trHeight w:val="102" w:hRule="atLeast"/>
        </w:trPr>
        <w:tc>
          <w:tcPr>
            <w:tcW w:w="5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ndale Sans UI"/>
                <w:color w:val="000000"/>
                <w:szCs w:val="24"/>
                <w:lang w:val="hr-HR" w:eastAsia="ar-SA"/>
              </w:rPr>
            </w:pPr>
            <w:r>
              <w:rPr>
                <w:rFonts w:eastAsia="Andale Sans UI"/>
                <w:color w:val="000000"/>
                <w:szCs w:val="24"/>
                <w:lang w:val="hr-HR" w:eastAsia="ar-SA"/>
              </w:rPr>
              <w:t>Kulturne manifestacije na području općine</w:t>
            </w:r>
          </w:p>
        </w:tc>
        <w:tc>
          <w:tcPr>
            <w:tcW w:w="2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ndale Sans UI"/>
                <w:b w:val="false"/>
                <w:bCs w:val="false"/>
                <w:sz w:val="24"/>
                <w:szCs w:val="24"/>
                <w:lang w:val="hr-HR" w:eastAsia="ar-SA"/>
              </w:rPr>
              <w:t>5.000,00</w:t>
            </w:r>
          </w:p>
        </w:tc>
        <w:tc>
          <w:tcPr>
            <w:tcW w:w="1851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ndale Sans UI"/>
                <w:b w:val="false"/>
                <w:bCs w:val="false"/>
                <w:sz w:val="24"/>
                <w:szCs w:val="24"/>
                <w:lang w:val="hr-HR" w:eastAsia="ar-SA"/>
              </w:rPr>
              <w:t>4.300,00</w:t>
            </w:r>
          </w:p>
        </w:tc>
      </w:tr>
      <w:tr>
        <w:trPr>
          <w:trHeight w:val="182" w:hRule="atLeast"/>
        </w:trPr>
        <w:tc>
          <w:tcPr>
            <w:tcW w:w="5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ndale Sans UI"/>
                <w:color w:val="000000"/>
                <w:szCs w:val="24"/>
                <w:lang w:val="hr-HR" w:eastAsia="ar-SA"/>
              </w:rPr>
            </w:pPr>
            <w:r>
              <w:rPr>
                <w:rFonts w:eastAsia="Andale Sans UI"/>
                <w:color w:val="000000"/>
                <w:szCs w:val="24"/>
                <w:lang w:val="hr-HR" w:eastAsia="ar-SA"/>
              </w:rPr>
              <w:t>Tekuće donacije LAG Srijem</w:t>
            </w:r>
          </w:p>
        </w:tc>
        <w:tc>
          <w:tcPr>
            <w:tcW w:w="2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ndale Sans UI"/>
                <w:b w:val="false"/>
                <w:bCs w:val="false"/>
                <w:sz w:val="24"/>
                <w:szCs w:val="24"/>
                <w:lang w:val="hr-HR" w:eastAsia="ar-SA"/>
              </w:rPr>
              <w:t>2.000,00</w:t>
            </w:r>
          </w:p>
        </w:tc>
        <w:tc>
          <w:tcPr>
            <w:tcW w:w="1851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ndale Sans UI"/>
                <w:b w:val="false"/>
                <w:bCs w:val="false"/>
                <w:sz w:val="24"/>
                <w:szCs w:val="24"/>
                <w:lang w:val="hr-HR" w:eastAsia="ar-SA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5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ndale Sans UI"/>
                <w:color w:val="000000"/>
                <w:szCs w:val="24"/>
                <w:lang w:val="hr-HR" w:eastAsia="ar-SA"/>
              </w:rPr>
            </w:pPr>
            <w:r>
              <w:rPr>
                <w:rFonts w:eastAsia="Andale Sans UI"/>
                <w:color w:val="000000"/>
                <w:szCs w:val="24"/>
                <w:lang w:val="hr-HR" w:eastAsia="ar-SA"/>
              </w:rPr>
              <w:t>Tekuće donacije nacionalnim manjinama</w:t>
            </w:r>
          </w:p>
        </w:tc>
        <w:tc>
          <w:tcPr>
            <w:tcW w:w="2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color="auto" w:fill="FFFFFF" w:val="clear"/>
          </w:tcPr>
          <w:p>
            <w:pPr>
              <w:pStyle w:val="Sadrajitablice"/>
              <w:widowControl w:val="false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5.000,00</w:t>
            </w:r>
          </w:p>
        </w:tc>
        <w:tc>
          <w:tcPr>
            <w:tcW w:w="1851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adrajitablice"/>
              <w:widowControl w:val="false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5.000,00</w:t>
            </w:r>
          </w:p>
        </w:tc>
      </w:tr>
      <w:tr>
        <w:trPr>
          <w:trHeight w:val="102" w:hRule="atLeast"/>
        </w:trPr>
        <w:tc>
          <w:tcPr>
            <w:tcW w:w="5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ndale Sans UI"/>
                <w:color w:val="000000"/>
                <w:szCs w:val="24"/>
                <w:lang w:val="hr-HR" w:eastAsia="ar-SA"/>
              </w:rPr>
            </w:pPr>
            <w:r>
              <w:rPr>
                <w:rFonts w:eastAsia="Andale Sans UI"/>
                <w:color w:val="000000"/>
                <w:szCs w:val="24"/>
                <w:lang w:val="hr-HR" w:eastAsia="ar-SA"/>
              </w:rPr>
              <w:t>Tekuće donacije Glas potrošača</w:t>
            </w:r>
          </w:p>
        </w:tc>
        <w:tc>
          <w:tcPr>
            <w:tcW w:w="2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color="auto" w:fill="FFFFFF" w:val="clear"/>
          </w:tcPr>
          <w:p>
            <w:pPr>
              <w:pStyle w:val="Sadrajitablice"/>
              <w:widowControl w:val="false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265,45</w:t>
            </w:r>
          </w:p>
        </w:tc>
        <w:tc>
          <w:tcPr>
            <w:tcW w:w="1851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adrajitablice"/>
              <w:widowControl w:val="false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265,45</w:t>
            </w:r>
          </w:p>
        </w:tc>
      </w:tr>
      <w:tr>
        <w:trPr>
          <w:trHeight w:val="102" w:hRule="atLeast"/>
        </w:trPr>
        <w:tc>
          <w:tcPr>
            <w:tcW w:w="5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ndale Sans UI"/>
                <w:color w:val="000000"/>
                <w:szCs w:val="24"/>
                <w:lang w:val="hr-HR" w:eastAsia="ar-SA"/>
              </w:rPr>
            </w:pPr>
            <w:r>
              <w:rPr>
                <w:rFonts w:eastAsia="Andale Sans UI"/>
                <w:color w:val="000000"/>
                <w:szCs w:val="24"/>
                <w:lang w:val="hr-HR" w:eastAsia="ar-SA"/>
              </w:rPr>
              <w:t>Tekuće donacije za Udruge na osnovu javnog poziva</w:t>
            </w:r>
          </w:p>
        </w:tc>
        <w:tc>
          <w:tcPr>
            <w:tcW w:w="2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ndale Sans UI" w:cs="Times New Roman"/>
                <w:b w:val="false"/>
                <w:bCs w:val="false"/>
                <w:kern w:val="2"/>
                <w:sz w:val="24"/>
                <w:szCs w:val="24"/>
                <w:lang w:val="pl-PL" w:eastAsia="zh-CN"/>
              </w:rPr>
              <w:t xml:space="preserve"> </w:t>
            </w:r>
            <w:r>
              <w:rPr>
                <w:rFonts w:eastAsia="Andale Sans UI" w:cs="Times New Roman"/>
                <w:b w:val="false"/>
                <w:bCs w:val="false"/>
                <w:kern w:val="2"/>
                <w:sz w:val="24"/>
                <w:szCs w:val="24"/>
                <w:lang w:val="pl-PL" w:eastAsia="zh-CN"/>
              </w:rPr>
              <w:t>110.900,00</w:t>
            </w:r>
          </w:p>
        </w:tc>
        <w:tc>
          <w:tcPr>
            <w:tcW w:w="1851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ndale Sans UI"/>
                <w:b w:val="false"/>
                <w:bCs w:val="false"/>
                <w:sz w:val="24"/>
                <w:szCs w:val="24"/>
                <w:lang w:val="hr-HR" w:eastAsia="ar-SA"/>
              </w:rPr>
              <w:t>107.936,00</w:t>
            </w:r>
          </w:p>
        </w:tc>
      </w:tr>
      <w:tr>
        <w:trPr>
          <w:trHeight w:val="292" w:hRule="atLeast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ndale Sans UI"/>
                <w:color w:val="000000"/>
                <w:szCs w:val="24"/>
                <w:lang w:val="pl-PL" w:eastAsia="ar-SA"/>
              </w:rPr>
            </w:pPr>
            <w:r>
              <w:rPr>
                <w:rFonts w:eastAsia="Andale Sans UI"/>
                <w:color w:val="000000"/>
                <w:szCs w:val="24"/>
                <w:lang w:val="pl-PL" w:eastAsia="ar-SA"/>
              </w:rPr>
              <w:t>Tekuće donacije ostalim neprofitnim organizacijama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adrajitablice"/>
              <w:widowControl w:val="false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2.000,00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adrajitablice"/>
              <w:widowControl w:val="false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1.754,06</w:t>
            </w:r>
          </w:p>
        </w:tc>
      </w:tr>
      <w:tr>
        <w:trPr>
          <w:trHeight w:val="292" w:hRule="atLeast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ndale Sans UI"/>
                <w:b/>
                <w:b/>
                <w:bCs/>
                <w:color w:val="000000"/>
                <w:szCs w:val="24"/>
                <w:lang w:val="pl-PL" w:eastAsia="ar-SA"/>
              </w:rPr>
            </w:pPr>
            <w:r>
              <w:rPr>
                <w:rFonts w:eastAsia="Andale Sans UI"/>
                <w:b/>
                <w:bCs/>
                <w:color w:val="000000"/>
                <w:szCs w:val="24"/>
                <w:lang w:val="pl-PL" w:eastAsia="ar-SA"/>
              </w:rPr>
              <w:t>UKUPNO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ndale Sans UI"/>
                <w:b w:val="false"/>
                <w:bCs w:val="false"/>
                <w:sz w:val="24"/>
                <w:szCs w:val="24"/>
                <w:lang w:val="hr-HR" w:eastAsia="ar-SA"/>
              </w:rPr>
              <w:t xml:space="preserve"> </w:t>
            </w:r>
            <w:r>
              <w:rPr>
                <w:rFonts w:eastAsia="Andale Sans UI"/>
                <w:b w:val="false"/>
                <w:bCs w:val="false"/>
                <w:sz w:val="24"/>
                <w:szCs w:val="24"/>
                <w:lang w:val="hr-HR" w:eastAsia="ar-SA"/>
              </w:rPr>
              <w:t>143.165,00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ndale Sans UI"/>
                <w:b w:val="false"/>
                <w:bCs w:val="false"/>
                <w:sz w:val="24"/>
                <w:szCs w:val="24"/>
                <w:lang w:val="hr-HR" w:eastAsia="ar-SA"/>
              </w:rPr>
              <w:t>132.022,00</w:t>
            </w:r>
          </w:p>
        </w:tc>
      </w:tr>
    </w:tbl>
    <w:p>
      <w:pPr>
        <w:pStyle w:val="Normal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3.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Izvještaj se dostavlja Općinskom vijeću na razmatranje i odlučivanje.</w:t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4.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</w:r>
      <w:r>
        <w:rPr>
          <w:rFonts w:eastAsia="Calibri" w:cs="Times New Roman"/>
          <w:szCs w:val="24"/>
          <w:lang w:val="hr-HR"/>
        </w:rPr>
        <w:t>Izvješće će se objaviti u Službenom glasniku Općine Negoslavci i na internet stranici Općine Negoslavci.</w:t>
      </w:r>
    </w:p>
    <w:p>
      <w:pPr>
        <w:pStyle w:val="Normal"/>
        <w:jc w:val="right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OPĆINSKI NAČELNIK</w:t>
      </w:r>
    </w:p>
    <w:p>
      <w:pPr>
        <w:pStyle w:val="Normal"/>
        <w:jc w:val="right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>Dušan Jeckov</w:t>
      </w:r>
    </w:p>
    <w:sectPr>
      <w:type w:val="nextPage"/>
      <w:pgSz w:w="12240" w:h="15840"/>
      <w:pgMar w:left="1440" w:right="1440" w:gutter="0" w:header="0" w:top="851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38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b4a90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b4a90"/>
    <w:pPr/>
    <w:rPr>
      <w:rFonts w:ascii="Tahoma" w:hAnsi="Tahoma" w:cs="Tahoma"/>
      <w:sz w:val="16"/>
      <w:szCs w:val="16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b38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LibreOffice/7.4.1.2$Windows_X86_64 LibreOffice_project/3c58a8f3a960df8bc8fd77b461821e42c061c5f0</Application>
  <AppVersion>15.0000</AppVersion>
  <Pages>1</Pages>
  <Words>199</Words>
  <Characters>1352</Characters>
  <CharactersWithSpaces>1514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2022-04-05T11:53:00Z</dcterms:created>
  <dc:creator>Korisnik</dc:creator>
  <dc:description/>
  <dc:language>hr-HR</dc:language>
  <cp:lastModifiedBy/>
  <dcterms:modified xsi:type="dcterms:W3CDTF">2025-04-10T14:12:03Z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