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rPr>
      </w:pPr>
      <w:r>
        <w:rPr/>
        <w:drawing>
          <wp:inline distT="0" distB="0" distL="0" distR="0">
            <wp:extent cx="2255520" cy="2737485"/>
            <wp:effectExtent l="0" t="0" r="0" b="0"/>
            <wp:docPr id="1" name="Slik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
                    <pic:cNvPicPr>
                      <a:picLocks noChangeAspect="1" noChangeArrowheads="1"/>
                    </pic:cNvPicPr>
                  </pic:nvPicPr>
                  <pic:blipFill>
                    <a:blip r:embed="rId2"/>
                    <a:stretch>
                      <a:fillRect/>
                    </a:stretch>
                  </pic:blipFill>
                  <pic:spPr bwMode="auto">
                    <a:xfrm>
                      <a:off x="0" y="0"/>
                      <a:ext cx="2255520" cy="2737485"/>
                    </a:xfrm>
                    <a:prstGeom prst="rect">
                      <a:avLst/>
                    </a:prstGeom>
                  </pic:spPr>
                </pic:pic>
              </a:graphicData>
            </a:graphic>
          </wp:inline>
        </w:drawing>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right"/>
        <w:rPr>
          <w:rFonts w:ascii="Times New Roman" w:hAnsi="Times New Roman"/>
        </w:rPr>
      </w:pPr>
      <w:r>
        <w:rPr>
          <w:rFonts w:eastAsia="Times New Roman" w:cs="Times New Roman" w:ascii="Times New Roman" w:hAnsi="Times New Roman"/>
          <w:lang w:eastAsia="hr-HR"/>
        </w:rPr>
        <w:t>ISSN: 2757-3435</w:t>
      </w:r>
    </w:p>
    <w:p>
      <w:pPr>
        <w:pStyle w:val="Normal"/>
        <w:jc w:val="right"/>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rPr>
      </w:pPr>
      <w:r>
        <w:rPr>
          <w:rFonts w:eastAsia="Times New Roman" w:cs="Times New Roman" w:ascii="Times New Roman" w:hAnsi="Times New Roman"/>
          <w:lang w:eastAsia="hr-HR"/>
        </w:rPr>
        <w:t>SLUŽBENI GLASNIK</w:t>
      </w:r>
    </w:p>
    <w:p>
      <w:pPr>
        <w:pStyle w:val="Normal"/>
        <w:jc w:val="center"/>
        <w:rPr>
          <w:rFonts w:ascii="Times New Roman" w:hAnsi="Times New Roman"/>
        </w:rPr>
      </w:pPr>
      <w:r>
        <w:rPr>
          <w:rFonts w:eastAsia="Times New Roman" w:cs="Times New Roman" w:ascii="Times New Roman" w:hAnsi="Times New Roman"/>
          <w:lang w:eastAsia="hr-HR"/>
        </w:rPr>
        <w:t>OPĆINE NEGOSLAVCI</w:t>
      </w:r>
    </w:p>
    <w:p>
      <w:pPr>
        <w:pStyle w:val="Normal"/>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rPr>
      </w:pPr>
      <w:r>
        <w:rPr>
          <w:rFonts w:eastAsia="Times New Roman" w:cs="Times New Roman" w:ascii="Times New Roman" w:hAnsi="Times New Roman"/>
          <w:lang w:eastAsia="hr-HR"/>
        </w:rPr>
        <w:t xml:space="preserve">Broj 32. God. IV Negoslavci, </w:t>
      </w:r>
      <w:r>
        <w:rPr>
          <w:rFonts w:eastAsia="Times New Roman" w:cs="Times New Roman" w:ascii="Times New Roman" w:hAnsi="Times New Roman"/>
          <w:color w:val="000000"/>
          <w:lang w:eastAsia="hr-HR"/>
        </w:rPr>
        <w:t>16.09</w:t>
      </w:r>
      <w:r>
        <w:rPr>
          <w:rFonts w:eastAsia="Times New Roman" w:cs="Times New Roman" w:ascii="Times New Roman" w:hAnsi="Times New Roman"/>
          <w:lang w:eastAsia="hr-HR"/>
        </w:rPr>
        <w:t>.2025. godine</w:t>
      </w:r>
    </w:p>
    <w:p>
      <w:pPr>
        <w:pStyle w:val="Normal"/>
        <w:jc w:val="center"/>
        <w:rPr>
          <w:rFonts w:ascii="Times New Roman" w:hAnsi="Times New Roman"/>
        </w:rPr>
      </w:pPr>
      <w:r>
        <w:rPr>
          <w:rFonts w:eastAsia="Times New Roman" w:cs="Times New Roman" w:ascii="Times New Roman" w:hAnsi="Times New Roman"/>
          <w:lang w:eastAsia="hr-HR"/>
        </w:rPr>
        <w:t>Izlazi prema potrebi</w:t>
      </w:r>
    </w:p>
    <w:p>
      <w:pPr>
        <w:pStyle w:val="Normal"/>
        <w:jc w:val="both"/>
        <w:rPr>
          <w:rFonts w:ascii="Times New Roman" w:hAnsi="Times New Roman"/>
        </w:rPr>
      </w:pPr>
      <w:r>
        <w:rPr>
          <w:rFonts w:ascii="Times New Roman" w:hAnsi="Times New Roman"/>
        </w:rPr>
      </w:r>
    </w:p>
    <w:p>
      <w:pPr>
        <w:pStyle w:val="Normal"/>
        <w:spacing w:beforeAutospacing="1" w:afterAutospacing="1"/>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spacing w:beforeAutospacing="1" w:afterAutospacing="1"/>
        <w:jc w:val="center"/>
        <w:rPr>
          <w:rFonts w:ascii="Times New Roman" w:hAnsi="Times New Roman"/>
        </w:rPr>
      </w:pPr>
      <w:r>
        <w:rPr>
          <w:rFonts w:eastAsia="Times New Roman" w:cs="Times New Roman" w:ascii="Times New Roman" w:hAnsi="Times New Roman"/>
          <w:b/>
          <w:bCs/>
          <w:lang w:eastAsia="hr-HR"/>
        </w:rPr>
        <w:t>„</w:t>
      </w:r>
      <w:r>
        <w:rPr>
          <w:rFonts w:eastAsia="Times New Roman" w:cs="Times New Roman" w:ascii="Times New Roman" w:hAnsi="Times New Roman"/>
          <w:b/>
          <w:bCs/>
          <w:lang w:eastAsia="hr-HR"/>
        </w:rPr>
        <w:t>SLUŽBENI GLASNIK OPĆINE NEGOSLAVCI“</w:t>
      </w:r>
    </w:p>
    <w:p>
      <w:pPr>
        <w:pStyle w:val="Normal"/>
        <w:spacing w:beforeAutospacing="1" w:afterAutospacing="1"/>
        <w:jc w:val="center"/>
        <w:rPr>
          <w:rFonts w:ascii="Times New Roman" w:hAnsi="Times New Roman" w:eastAsia="Times New Roman" w:cs="Times New Roman"/>
          <w:b/>
          <w:b/>
          <w:bCs/>
          <w:lang w:eastAsia="hr-HR"/>
        </w:rPr>
      </w:pPr>
      <w:r>
        <w:rPr>
          <w:rFonts w:eastAsia="Times New Roman" w:cs="Times New Roman" w:ascii="Times New Roman" w:hAnsi="Times New Roman"/>
          <w:b/>
          <w:bCs/>
          <w:lang w:eastAsia="hr-HR"/>
        </w:rPr>
      </w:r>
    </w:p>
    <w:p>
      <w:pPr>
        <w:pStyle w:val="Normal"/>
        <w:spacing w:beforeAutospacing="1" w:afterAutospacing="1"/>
        <w:jc w:val="center"/>
        <w:rPr>
          <w:rFonts w:ascii="Times New Roman" w:hAnsi="Times New Roman"/>
        </w:rPr>
      </w:pPr>
      <w:r>
        <w:rPr>
          <w:rFonts w:eastAsia="Times New Roman" w:cs="Times New Roman" w:ascii="Times New Roman" w:hAnsi="Times New Roman"/>
          <w:b/>
          <w:bCs/>
          <w:lang w:eastAsia="hr-HR"/>
        </w:rPr>
        <w:t>Nakladnik – Općina Negoslavci</w:t>
      </w:r>
    </w:p>
    <w:p>
      <w:pPr>
        <w:pStyle w:val="Normal"/>
        <w:spacing w:beforeAutospacing="1" w:afterAutospacing="1"/>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spacing w:beforeAutospacing="1" w:afterAutospacing="1"/>
        <w:jc w:val="center"/>
        <w:rPr>
          <w:rFonts w:ascii="Times New Roman" w:hAnsi="Times New Roman"/>
        </w:rPr>
      </w:pPr>
      <w:r>
        <w:rPr>
          <w:rFonts w:eastAsia="Times New Roman" w:cs="Times New Roman" w:ascii="Times New Roman" w:hAnsi="Times New Roman"/>
          <w:lang w:eastAsia="hr-HR"/>
        </w:rPr>
        <w:t>Uredništvo:</w:t>
      </w:r>
    </w:p>
    <w:p>
      <w:pPr>
        <w:pStyle w:val="Normal"/>
        <w:spacing w:beforeAutospacing="1" w:afterAutospacing="1"/>
        <w:jc w:val="center"/>
        <w:rPr>
          <w:rFonts w:ascii="Times New Roman" w:hAnsi="Times New Roman"/>
        </w:rPr>
      </w:pPr>
      <w:r>
        <w:rPr>
          <w:rFonts w:eastAsia="Times New Roman" w:cs="Times New Roman" w:ascii="Times New Roman" w:hAnsi="Times New Roman"/>
          <w:lang w:eastAsia="hr-HR"/>
        </w:rPr>
        <w:t>Općinski načelnik: Dušan Jeckov – glavni i odgovorni urednik</w:t>
      </w:r>
    </w:p>
    <w:p>
      <w:pPr>
        <w:pStyle w:val="Normal"/>
        <w:spacing w:beforeAutospacing="1" w:afterAutospacing="1"/>
        <w:jc w:val="center"/>
        <w:rPr>
          <w:rFonts w:ascii="Times New Roman" w:hAnsi="Times New Roman"/>
        </w:rPr>
      </w:pPr>
      <w:r>
        <w:rPr>
          <w:rFonts w:eastAsia="Times New Roman" w:cs="Times New Roman" w:ascii="Times New Roman" w:hAnsi="Times New Roman"/>
          <w:lang w:eastAsia="hr-HR"/>
        </w:rPr>
        <w:t>Pročelnica Jedinstvenog upravnog odjela: Marina Stojnović</w:t>
      </w:r>
    </w:p>
    <w:p>
      <w:pPr>
        <w:pStyle w:val="Normal"/>
        <w:spacing w:beforeAutospacing="1" w:afterAutospacing="1"/>
        <w:ind w:left="720" w:hanging="0"/>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spacing w:beforeAutospacing="1" w:afterAutospacing="1"/>
        <w:jc w:val="center"/>
        <w:rPr>
          <w:rFonts w:ascii="Times New Roman" w:hAnsi="Times New Roman"/>
        </w:rPr>
      </w:pPr>
      <w:r>
        <w:rPr>
          <w:rFonts w:eastAsia="Times New Roman" w:cs="Times New Roman" w:ascii="Times New Roman" w:hAnsi="Times New Roman"/>
          <w:lang w:eastAsia="hr-HR"/>
        </w:rPr>
        <w:t>Negoslavci, Vukovarska 7, 32 239 Negoslavci, Republika Hrvatska</w:t>
      </w:r>
    </w:p>
    <w:p>
      <w:pPr>
        <w:pStyle w:val="Normal"/>
        <w:spacing w:beforeAutospacing="1" w:afterAutospacing="1"/>
        <w:jc w:val="center"/>
        <w:rPr>
          <w:rFonts w:ascii="Times New Roman" w:hAnsi="Times New Roman"/>
        </w:rPr>
      </w:pPr>
      <w:r>
        <w:rPr>
          <w:rFonts w:eastAsia="Times New Roman" w:cs="Times New Roman" w:ascii="Times New Roman" w:hAnsi="Times New Roman"/>
          <w:lang w:eastAsia="hr-HR"/>
        </w:rPr>
        <w:t>Telefon: 032/517-054</w:t>
      </w:r>
    </w:p>
    <w:p>
      <w:pPr>
        <w:pStyle w:val="Normal"/>
        <w:spacing w:beforeAutospacing="1" w:afterAutospacing="1"/>
        <w:jc w:val="center"/>
        <w:rPr>
          <w:rFonts w:ascii="Times New Roman" w:hAnsi="Times New Roman"/>
        </w:rPr>
      </w:pPr>
      <w:r>
        <w:rPr>
          <w:rFonts w:eastAsia="Times New Roman" w:cs="Times New Roman" w:ascii="Times New Roman" w:hAnsi="Times New Roman"/>
          <w:lang w:eastAsia="hr-HR"/>
        </w:rPr>
        <w:t>Fax: 032/517-054</w:t>
      </w:r>
    </w:p>
    <w:p>
      <w:pPr>
        <w:pStyle w:val="Normal"/>
        <w:spacing w:beforeAutospacing="1" w:afterAutospacing="1"/>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spacing w:beforeAutospacing="1" w:afterAutospacing="1"/>
        <w:jc w:val="center"/>
        <w:rPr/>
      </w:pPr>
      <w:r>
        <w:rPr>
          <w:rFonts w:eastAsia="Times New Roman" w:cs="Times New Roman" w:ascii="Times New Roman" w:hAnsi="Times New Roman"/>
          <w:lang w:eastAsia="hr-HR"/>
        </w:rPr>
        <w:t xml:space="preserve">e-mail: </w:t>
      </w:r>
      <w:hyperlink r:id="rId3">
        <w:r>
          <w:rPr>
            <w:rFonts w:eastAsia="Times New Roman" w:cs="Times New Roman" w:ascii="Times New Roman" w:hAnsi="Times New Roman"/>
            <w:color w:val="0000FF"/>
            <w:u w:val="single"/>
            <w:lang w:eastAsia="hr-HR"/>
          </w:rPr>
          <w:t>opcina.negoslavci@gmail.com</w:t>
        </w:r>
      </w:hyperlink>
      <w:r>
        <w:rPr>
          <w:rFonts w:eastAsia="Times New Roman" w:cs="Times New Roman" w:ascii="Times New Roman" w:hAnsi="Times New Roman"/>
          <w:lang w:eastAsia="hr-HR"/>
        </w:rPr>
        <w:t xml:space="preserve"> </w:t>
      </w:r>
    </w:p>
    <w:p>
      <w:pPr>
        <w:pStyle w:val="Normal"/>
        <w:spacing w:beforeAutospacing="1" w:afterAutospacing="1"/>
        <w:jc w:val="center"/>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spacing w:beforeAutospacing="1" w:afterAutospacing="1"/>
        <w:jc w:val="center"/>
        <w:rPr>
          <w:rFonts w:ascii="Times New Roman" w:hAnsi="Times New Roman"/>
        </w:rPr>
      </w:pPr>
      <w:r>
        <w:rPr>
          <w:rFonts w:eastAsia="Times New Roman" w:cs="Times New Roman" w:ascii="Times New Roman" w:hAnsi="Times New Roman"/>
          <w:b/>
          <w:bCs/>
          <w:lang w:eastAsia="hr-HR"/>
        </w:rPr>
        <w:t>Izlazi prema potrebi</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eastAsia="Times New Roman" w:cs="Times New Roman" w:ascii="Times New Roman" w:hAnsi="Times New Roman"/>
          <w:b/>
          <w:lang w:eastAsia="hr-HR"/>
        </w:rPr>
        <w:t>KAZALO</w:t>
      </w:r>
    </w:p>
    <w:p>
      <w:pPr>
        <w:pStyle w:val="Normal"/>
        <w:jc w:val="center"/>
        <w:rPr>
          <w:rFonts w:ascii="Times New Roman" w:hAnsi="Times New Roman"/>
        </w:rPr>
      </w:pPr>
      <w:r>
        <w:rPr>
          <w:rFonts w:ascii="Times New Roman" w:hAnsi="Times New Roman"/>
          <w:b/>
          <w:bCs/>
        </w:rPr>
        <w:t>AKTI OPĆINSKOG VIJEĆA</w:t>
      </w:r>
    </w:p>
    <w:p>
      <w:pPr>
        <w:pStyle w:val="Normal"/>
        <w:jc w:val="left"/>
        <w:rPr>
          <w:rFonts w:ascii="Times New Roman" w:hAnsi="Times New Roman"/>
        </w:rPr>
      </w:pPr>
      <w:r>
        <w:rPr>
          <w:rFonts w:ascii="Times New Roman" w:hAnsi="Times New Roman"/>
        </w:rPr>
        <w:t>Odluka o donošenju Polugodišnjeg izvješća o izvršenju proračuna Općine Negoslavci za 2025. godinu .................................................................................................................................................4</w:t>
      </w:r>
    </w:p>
    <w:p>
      <w:pPr>
        <w:pStyle w:val="Normal"/>
        <w:jc w:val="left"/>
        <w:rPr>
          <w:rFonts w:ascii="Times New Roman" w:hAnsi="Times New Roman"/>
        </w:rPr>
      </w:pPr>
      <w:r>
        <w:rPr>
          <w:rFonts w:ascii="Times New Roman" w:hAnsi="Times New Roman"/>
        </w:rPr>
        <w:t>Polugodišnji izvještaj o izvršenju proračuna Općine Negoslavci za 2025. godinu ............................5</w:t>
      </w:r>
    </w:p>
    <w:p>
      <w:pPr>
        <w:pStyle w:val="Normal"/>
        <w:jc w:val="left"/>
        <w:rPr>
          <w:rFonts w:ascii="Times New Roman" w:hAnsi="Times New Roman"/>
        </w:rPr>
      </w:pPr>
      <w:r>
        <w:rPr/>
        <w:t xml:space="preserve">Obrazloženje polugodišnjeg izvještaja o izvršenja proračuna Općine Negoslavci </w:t>
      </w:r>
    </w:p>
    <w:p>
      <w:pPr>
        <w:pStyle w:val="Normal"/>
        <w:jc w:val="left"/>
        <w:rPr>
          <w:rFonts w:ascii="Times New Roman" w:hAnsi="Times New Roman"/>
        </w:rPr>
      </w:pPr>
      <w:r>
        <w:rPr/>
        <w:t xml:space="preserve">za 2025. godinu .................................................................................................................................26 </w:t>
      </w:r>
    </w:p>
    <w:p>
      <w:pPr>
        <w:pStyle w:val="Normal"/>
        <w:jc w:val="left"/>
        <w:rPr>
          <w:rFonts w:ascii="Times New Roman" w:hAnsi="Times New Roman"/>
        </w:rPr>
      </w:pPr>
      <w:r>
        <w:rPr>
          <w:rFonts w:ascii="Times New Roman" w:hAnsi="Times New Roman"/>
          <w:b w:val="false"/>
          <w:bCs w:val="false"/>
        </w:rPr>
        <w:t>Odluka o osnivanju Etičkog odbora Općine Negoslavci ...................................................................2</w:t>
      </w:r>
      <w:r>
        <w:rPr>
          <w:rFonts w:ascii="Times New Roman" w:hAnsi="Times New Roman"/>
          <w:b w:val="false"/>
          <w:bCs w:val="false"/>
        </w:rPr>
        <w:t>8</w:t>
      </w:r>
    </w:p>
    <w:p>
      <w:pPr>
        <w:pStyle w:val="Normal"/>
        <w:jc w:val="left"/>
        <w:rPr>
          <w:rFonts w:ascii="Times New Roman" w:hAnsi="Times New Roman"/>
        </w:rPr>
      </w:pPr>
      <w:r>
        <w:rPr>
          <w:rFonts w:ascii="Times New Roman" w:hAnsi="Times New Roman"/>
          <w:b w:val="false"/>
          <w:bCs w:val="false"/>
        </w:rPr>
        <w:t>Odluka o osnivanju Vijeća časti Općine Negoslavci .........................................................................</w:t>
      </w:r>
      <w:r>
        <w:rPr>
          <w:rFonts w:ascii="Times New Roman" w:hAnsi="Times New Roman"/>
          <w:b w:val="false"/>
          <w:bCs w:val="false"/>
        </w:rPr>
        <w:t>29</w:t>
      </w:r>
    </w:p>
    <w:p>
      <w:pPr>
        <w:pStyle w:val="Normal"/>
        <w:jc w:val="left"/>
        <w:rPr>
          <w:rFonts w:ascii="Times New Roman" w:hAnsi="Times New Roman"/>
        </w:rPr>
      </w:pPr>
      <w:r>
        <w:rPr>
          <w:rFonts w:ascii="Times New Roman" w:hAnsi="Times New Roman"/>
          <w:b w:val="false"/>
          <w:bCs w:val="false"/>
        </w:rPr>
        <w:t>Javni poziv za isticanje kandidatura za za izbor članova Savjeta mladih Općine Negoslavci ..........</w:t>
      </w:r>
      <w:r>
        <w:rPr>
          <w:rFonts w:ascii="Times New Roman" w:hAnsi="Times New Roman"/>
          <w:b w:val="false"/>
          <w:bCs w:val="false"/>
        </w:rPr>
        <w:t>30</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sectPr>
          <w:headerReference w:type="even" r:id="rId4"/>
          <w:headerReference w:type="default" r:id="rId5"/>
          <w:type w:val="nextPage"/>
          <w:pgSz w:w="11906" w:h="16838"/>
          <w:pgMar w:left="1134" w:right="1134" w:gutter="0" w:header="1134" w:top="1693" w:footer="0" w:bottom="1134"/>
          <w:pgNumType w:fmt="decimal"/>
          <w:formProt w:val="false"/>
          <w:textDirection w:val="lrTb"/>
          <w:docGrid w:type="default" w:linePitch="100" w:charSpace="0"/>
        </w:sectPr>
        <w:pStyle w:val="Normal"/>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b/>
          <w:bCs/>
          <w:sz w:val="24"/>
          <w:szCs w:val="24"/>
          <w:u w:val="single"/>
          <w:lang w:val="hr-HR"/>
        </w:rPr>
        <w:t>AKTI OPĆINSKOG VIJEĆA</w:t>
      </w:r>
    </w:p>
    <w:p>
      <w:pPr>
        <w:pStyle w:val="Normal"/>
        <w:jc w:val="both"/>
        <w:rPr>
          <w:rFonts w:ascii="Times New Roman" w:hAnsi="Times New Roman"/>
          <w:sz w:val="24"/>
          <w:szCs w:val="24"/>
        </w:rPr>
      </w:pPr>
      <w:r>
        <w:rPr>
          <w:rFonts w:ascii="Times New Roman" w:hAnsi="Times New Roman"/>
          <w:sz w:val="24"/>
          <w:szCs w:val="24"/>
        </w:rPr>
      </w:r>
    </w:p>
    <w:p>
      <w:pPr>
        <w:pStyle w:val="Normal"/>
        <w:bidi w:val="0"/>
        <w:jc w:val="both"/>
        <w:rPr>
          <w:color w:val="000000"/>
        </w:rPr>
      </w:pPr>
      <w:r>
        <w:rPr>
          <w:color w:val="000000"/>
          <w:lang w:val="hr-HR"/>
        </w:rPr>
        <w:tab/>
        <w:t>Na temelju članka 76. Zakona o proračunu („Narodne novine“ broj 144/21) i članka 19., stavka 1., točke 2. i 8. Statuta Općine Negoslavci („Službeni glasnik Općine Negoslavci“ broj 04/25), Općinsko vijeće Općine Negoslavci na svojoj redovnoj sjednici održanoj dana 15.09.2025. godine donosi</w:t>
      </w:r>
    </w:p>
    <w:p>
      <w:pPr>
        <w:pStyle w:val="Normal"/>
        <w:bidi w:val="0"/>
        <w:jc w:val="left"/>
        <w:rPr>
          <w:color w:val="000000"/>
          <w:lang w:val="hr-HR"/>
        </w:rPr>
      </w:pPr>
      <w:r>
        <w:rPr>
          <w:color w:val="000000"/>
          <w:lang w:val="hr-HR"/>
        </w:rPr>
      </w:r>
    </w:p>
    <w:p>
      <w:pPr>
        <w:pStyle w:val="Normal"/>
        <w:bidi w:val="0"/>
        <w:jc w:val="center"/>
        <w:rPr>
          <w:b/>
          <w:b/>
          <w:lang w:val="hr-HR"/>
        </w:rPr>
      </w:pPr>
      <w:r>
        <w:rPr>
          <w:b/>
          <w:lang w:val="hr-HR"/>
        </w:rPr>
        <w:t>ODLUKU</w:t>
      </w:r>
    </w:p>
    <w:p>
      <w:pPr>
        <w:pStyle w:val="Normal"/>
        <w:bidi w:val="0"/>
        <w:jc w:val="center"/>
        <w:rPr>
          <w:b/>
          <w:b/>
          <w:lang w:val="hr-HR"/>
        </w:rPr>
      </w:pPr>
      <w:r>
        <w:rPr>
          <w:b/>
          <w:lang w:val="hr-HR"/>
        </w:rPr>
        <w:t>o usvajanju polugodišnjeg izvještaja o izvršenju proračuna Općine Negoslavci za 2025. godinu</w:t>
      </w:r>
    </w:p>
    <w:p>
      <w:pPr>
        <w:pStyle w:val="Normal"/>
        <w:bidi w:val="0"/>
        <w:jc w:val="center"/>
        <w:rPr>
          <w:b/>
          <w:b/>
          <w:lang w:val="hr-HR"/>
        </w:rPr>
      </w:pPr>
      <w:r>
        <w:rPr>
          <w:b/>
          <w:lang w:val="hr-HR"/>
        </w:rPr>
      </w:r>
    </w:p>
    <w:p>
      <w:pPr>
        <w:pStyle w:val="Normal"/>
        <w:bidi w:val="0"/>
        <w:jc w:val="center"/>
        <w:rPr>
          <w:b/>
          <w:b/>
          <w:lang w:val="hr-HR"/>
        </w:rPr>
      </w:pPr>
      <w:r>
        <w:rPr>
          <w:b/>
          <w:lang w:val="hr-HR"/>
        </w:rPr>
        <w:t>Članak 1.</w:t>
      </w:r>
    </w:p>
    <w:p>
      <w:pPr>
        <w:pStyle w:val="Normal"/>
        <w:bidi w:val="0"/>
        <w:jc w:val="both"/>
        <w:rPr>
          <w:lang w:val="hr-HR"/>
        </w:rPr>
      </w:pPr>
      <w:r>
        <w:rPr>
          <w:lang w:val="hr-HR"/>
        </w:rPr>
        <w:tab/>
        <w:t>Usvaja se polugodišnji izvještaj o izvršenju proračuna Općine Negoslavci za 2025. godinu.</w:t>
      </w:r>
    </w:p>
    <w:p>
      <w:pPr>
        <w:pStyle w:val="Normal"/>
        <w:bidi w:val="0"/>
        <w:jc w:val="left"/>
        <w:rPr>
          <w:lang w:val="hr-HR"/>
        </w:rPr>
      </w:pPr>
      <w:r>
        <w:rPr>
          <w:lang w:val="hr-HR"/>
        </w:rPr>
      </w:r>
    </w:p>
    <w:p>
      <w:pPr>
        <w:pStyle w:val="Normal"/>
        <w:bidi w:val="0"/>
        <w:jc w:val="center"/>
        <w:rPr>
          <w:b/>
          <w:b/>
          <w:lang w:val="hr-HR"/>
        </w:rPr>
      </w:pPr>
      <w:r>
        <w:rPr>
          <w:b/>
          <w:lang w:val="hr-HR"/>
        </w:rPr>
        <w:t>Članak 2.</w:t>
      </w:r>
    </w:p>
    <w:p>
      <w:pPr>
        <w:pStyle w:val="Normal"/>
        <w:bidi w:val="0"/>
        <w:jc w:val="both"/>
        <w:rPr>
          <w:lang w:val="hr-HR"/>
        </w:rPr>
      </w:pPr>
      <w:r>
        <w:rPr>
          <w:lang w:val="hr-HR"/>
        </w:rPr>
        <w:tab/>
        <w:t>Izvještaj se sastoji od:</w:t>
      </w:r>
    </w:p>
    <w:p>
      <w:pPr>
        <w:pStyle w:val="Normal"/>
        <w:bidi w:val="0"/>
        <w:jc w:val="both"/>
        <w:rPr>
          <w:lang w:val="hr-HR"/>
        </w:rPr>
      </w:pPr>
      <w:r>
        <w:rPr>
          <w:lang w:val="hr-HR"/>
        </w:rPr>
        <w:t>I Općeg dijela,</w:t>
      </w:r>
    </w:p>
    <w:p>
      <w:pPr>
        <w:pStyle w:val="Normal"/>
        <w:bidi w:val="0"/>
        <w:jc w:val="both"/>
        <w:rPr>
          <w:lang w:val="hr-HR"/>
        </w:rPr>
      </w:pPr>
      <w:r>
        <w:rPr>
          <w:lang w:val="hr-HR"/>
        </w:rPr>
        <w:t>II Posebnog dijela.</w:t>
      </w:r>
    </w:p>
    <w:p>
      <w:pPr>
        <w:pStyle w:val="Normal"/>
        <w:bidi w:val="0"/>
        <w:jc w:val="left"/>
        <w:rPr>
          <w:lang w:val="hr-HR"/>
        </w:rPr>
      </w:pPr>
      <w:r>
        <w:rPr>
          <w:lang w:val="hr-HR"/>
        </w:rPr>
      </w:r>
    </w:p>
    <w:p>
      <w:pPr>
        <w:pStyle w:val="Normal"/>
        <w:bidi w:val="0"/>
        <w:jc w:val="center"/>
        <w:rPr>
          <w:b/>
          <w:b/>
          <w:lang w:val="hr-HR"/>
        </w:rPr>
      </w:pPr>
      <w:r>
        <w:rPr>
          <w:b/>
          <w:lang w:val="hr-HR"/>
        </w:rPr>
        <w:t>Članak 3.</w:t>
      </w:r>
    </w:p>
    <w:p>
      <w:pPr>
        <w:pStyle w:val="Normal"/>
        <w:bidi w:val="0"/>
        <w:jc w:val="both"/>
        <w:rPr>
          <w:lang w:val="hr-HR"/>
        </w:rPr>
      </w:pPr>
      <w:r>
        <w:rPr>
          <w:lang w:val="hr-HR"/>
        </w:rPr>
        <w:tab/>
        <w:t>Pismeni se izvještaj prilaže uz ovu Odluku i predstavlja njezin sastavni dio.</w:t>
      </w:r>
    </w:p>
    <w:p>
      <w:pPr>
        <w:pStyle w:val="Normal"/>
        <w:bidi w:val="0"/>
        <w:jc w:val="left"/>
        <w:rPr>
          <w:lang w:val="hr-HR"/>
        </w:rPr>
      </w:pPr>
      <w:r>
        <w:rPr>
          <w:lang w:val="hr-HR"/>
        </w:rPr>
      </w:r>
    </w:p>
    <w:p>
      <w:pPr>
        <w:pStyle w:val="Normal"/>
        <w:bidi w:val="0"/>
        <w:jc w:val="center"/>
        <w:rPr>
          <w:b/>
          <w:b/>
          <w:lang w:val="hr-HR"/>
        </w:rPr>
      </w:pPr>
      <w:r>
        <w:rPr>
          <w:b/>
          <w:lang w:val="hr-HR"/>
        </w:rPr>
        <w:t>Članak 4.</w:t>
      </w:r>
    </w:p>
    <w:p>
      <w:pPr>
        <w:pStyle w:val="Normal"/>
        <w:bidi w:val="0"/>
        <w:jc w:val="both"/>
        <w:rPr>
          <w:lang w:val="hr-HR"/>
        </w:rPr>
      </w:pPr>
      <w:r>
        <w:rPr>
          <w:lang w:val="hr-HR"/>
        </w:rPr>
        <w:tab/>
        <w:t>Odluka stupa na snagu osmog dana od dana objave u Službenom glasniku Općine Negoslavci.</w:t>
      </w:r>
    </w:p>
    <w:p>
      <w:pPr>
        <w:pStyle w:val="Normal"/>
        <w:bidi w:val="0"/>
        <w:jc w:val="left"/>
        <w:rPr>
          <w:lang w:val="hr-HR"/>
        </w:rPr>
      </w:pPr>
      <w:r>
        <w:rPr>
          <w:lang w:val="hr-HR"/>
        </w:rPr>
      </w:r>
    </w:p>
    <w:p>
      <w:pPr>
        <w:pStyle w:val="Normal"/>
        <w:bidi w:val="0"/>
        <w:jc w:val="both"/>
        <w:rPr>
          <w:color w:val="000000"/>
        </w:rPr>
      </w:pPr>
      <w:r>
        <w:rPr>
          <w:b w:val="false"/>
          <w:bCs w:val="false"/>
          <w:color w:val="000000"/>
          <w:lang w:val="hr-HR"/>
        </w:rPr>
        <w:t>KLASA: 400-04/</w:t>
      </w:r>
      <w:r>
        <w:rPr>
          <w:b w:val="false"/>
          <w:bCs w:val="false"/>
          <w:color w:val="000000"/>
          <w:lang w:val="hr-HR"/>
        </w:rPr>
        <w:t>25-01</w:t>
      </w:r>
      <w:r>
        <w:rPr>
          <w:b w:val="false"/>
          <w:bCs w:val="false"/>
          <w:color w:val="000000"/>
          <w:lang w:val="hr-HR"/>
        </w:rPr>
        <w:t>/</w:t>
      </w:r>
      <w:r>
        <w:rPr>
          <w:b w:val="false"/>
          <w:bCs w:val="false"/>
          <w:color w:val="000000"/>
          <w:lang w:val="hr-HR"/>
        </w:rPr>
        <w:t>0</w:t>
      </w:r>
      <w:r>
        <w:rPr>
          <w:b w:val="false"/>
          <w:bCs w:val="false"/>
          <w:color w:val="000000"/>
          <w:lang w:val="hr-HR"/>
        </w:rPr>
        <w:t>4</w:t>
      </w:r>
    </w:p>
    <w:p>
      <w:pPr>
        <w:pStyle w:val="Normal"/>
        <w:bidi w:val="0"/>
        <w:jc w:val="both"/>
        <w:rPr>
          <w:color w:val="000000"/>
        </w:rPr>
      </w:pPr>
      <w:r>
        <w:rPr>
          <w:b w:val="false"/>
          <w:bCs w:val="false"/>
          <w:color w:val="000000"/>
          <w:lang w:val="hr-HR"/>
        </w:rPr>
        <w:t>URBROJ:</w:t>
      </w:r>
      <w:r>
        <w:rPr>
          <w:color w:val="000000"/>
          <w:lang w:val="hr-HR"/>
        </w:rPr>
        <w:t xml:space="preserve"> </w:t>
      </w:r>
      <w:r>
        <w:rPr>
          <w:b w:val="false"/>
          <w:bCs w:val="false"/>
          <w:color w:val="000000"/>
          <w:lang w:val="hr-HR"/>
        </w:rPr>
        <w:t>2196-19-02-25-</w:t>
      </w:r>
      <w:r>
        <w:rPr>
          <w:b w:val="false"/>
          <w:bCs w:val="false"/>
          <w:color w:val="000000"/>
          <w:lang w:val="hr-HR"/>
        </w:rPr>
        <w:t>01</w:t>
      </w:r>
    </w:p>
    <w:p>
      <w:pPr>
        <w:pStyle w:val="Normal"/>
        <w:bidi w:val="0"/>
        <w:jc w:val="both"/>
        <w:rPr>
          <w:color w:val="000000"/>
        </w:rPr>
      </w:pPr>
      <w:r>
        <w:rPr>
          <w:b w:val="false"/>
          <w:bCs w:val="false"/>
          <w:color w:val="000000"/>
        </w:rPr>
        <w:t xml:space="preserve">Negoslavci, </w:t>
      </w:r>
      <w:r>
        <w:rPr>
          <w:color w:val="000000"/>
        </w:rPr>
        <w:t xml:space="preserve">15. rujna 2025. </w:t>
      </w:r>
    </w:p>
    <w:p>
      <w:pPr>
        <w:pStyle w:val="Normal"/>
        <w:bidi w:val="0"/>
        <w:jc w:val="left"/>
        <w:rPr>
          <w:lang w:val="hr-HR"/>
        </w:rPr>
      </w:pPr>
      <w:r>
        <w:rPr>
          <w:lang w:val="hr-HR"/>
        </w:rPr>
      </w:r>
    </w:p>
    <w:p>
      <w:pPr>
        <w:pStyle w:val="Normal"/>
        <w:bidi w:val="0"/>
        <w:jc w:val="center"/>
        <w:rPr/>
      </w:pPr>
      <w:r>
        <w:rPr>
          <w:b/>
          <w:lang w:val="hr-HR"/>
        </w:rPr>
        <w:t>PREDSJEDNIK OPĆINSKOG VIJEĆA:</w:t>
      </w:r>
    </w:p>
    <w:p>
      <w:pPr>
        <w:pStyle w:val="Normal"/>
        <w:bidi w:val="0"/>
        <w:jc w:val="center"/>
        <w:rPr/>
      </w:pPr>
      <w:r>
        <w:rPr/>
        <w:t>Miodrag Mišanović</w:t>
      </w:r>
    </w:p>
    <w:p>
      <w:pPr>
        <w:pStyle w:val="Normal"/>
        <w:bidi w:val="0"/>
        <w:jc w:val="center"/>
        <w:rPr>
          <w:rFonts w:ascii="Times New Roman" w:hAnsi="Times New Roman"/>
        </w:rPr>
      </w:pPr>
      <w:r>
        <w:rPr/>
        <w:drawing>
          <wp:inline distT="0" distB="0" distL="0" distR="0">
            <wp:extent cx="5761355" cy="36830"/>
            <wp:effectExtent l="0" t="0" r="0" b="0"/>
            <wp:docPr id="2" name="Slik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6" descr=""/>
                    <pic:cNvPicPr>
                      <a:picLocks noChangeAspect="1" noChangeArrowheads="1"/>
                    </pic:cNvPicPr>
                  </pic:nvPicPr>
                  <pic:blipFill>
                    <a:blip r:embed="rId6"/>
                    <a:stretch>
                      <a:fillRect/>
                    </a:stretch>
                  </pic:blipFill>
                  <pic:spPr bwMode="auto">
                    <a:xfrm>
                      <a:off x="0" y="0"/>
                      <a:ext cx="5761355" cy="36830"/>
                    </a:xfrm>
                    <a:prstGeom prst="rect">
                      <a:avLst/>
                    </a:prstGeom>
                  </pic:spPr>
                </pic:pic>
              </a:graphicData>
            </a:graphic>
          </wp:inline>
        </w:drawing>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sectPr>
          <w:headerReference w:type="even" r:id="rId7"/>
          <w:headerReference w:type="default" r:id="rId8"/>
          <w:type w:val="nextPage"/>
          <w:pgSz w:w="11906" w:h="16838"/>
          <w:pgMar w:left="1417" w:right="1417" w:gutter="0" w:header="1417" w:top="2252" w:footer="0" w:bottom="1417"/>
          <w:pgNumType w:fmt="decimal"/>
          <w:formProt w:val="false"/>
          <w:textDirection w:val="lrTb"/>
          <w:docGrid w:type="default" w:linePitch="360" w:charSpace="0"/>
        </w:sectPr>
        <w:pStyle w:val="Normal"/>
        <w:bidi w:val="0"/>
        <w:jc w:val="both"/>
        <w:rPr>
          <w:rFonts w:ascii="Times New Roman" w:hAnsi="Times New Roman"/>
        </w:rPr>
      </w:pPr>
      <w:r>
        <w:rPr>
          <w:rFonts w:ascii="Times New Roman" w:hAnsi="Times New Roman"/>
        </w:rPr>
      </w:r>
    </w:p>
    <w:p>
      <w:pPr>
        <w:pStyle w:val="Normal"/>
        <w:bidi w:val="0"/>
        <w:jc w:val="center"/>
        <w:rPr>
          <w:rFonts w:ascii="Times New Roman" w:hAnsi="Times New Roman"/>
          <w:b/>
          <w:b/>
          <w:bCs/>
        </w:rPr>
      </w:pPr>
      <w:r>
        <w:rPr>
          <w:rFonts w:ascii="Times New Roman" w:hAnsi="Times New Roman"/>
          <w:b/>
          <w:bCs/>
        </w:rPr>
        <w:t>POLUGODIŠNJI IZVJEŠTAJ O IZVRŠENJU PRORAČUNA OPĆINE NEGOSLAVCI  ZA 2025. GODINU</w:t>
      </w:r>
    </w:p>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b/>
          <w:b/>
          <w:bCs/>
        </w:rPr>
      </w:pPr>
      <w:r>
        <w:rPr>
          <w:rFonts w:ascii="Times New Roman" w:hAnsi="Times New Roman"/>
          <w:b/>
          <w:bCs/>
        </w:rPr>
        <w:t>I OPĆI DIO</w:t>
      </w:r>
    </w:p>
    <w:p>
      <w:pPr>
        <w:pStyle w:val="Normal"/>
        <w:bidi w:val="0"/>
        <w:jc w:val="center"/>
        <w:rPr>
          <w:rFonts w:ascii="Times New Roman" w:hAnsi="Times New Roman"/>
          <w:b/>
          <w:b/>
          <w:bCs/>
        </w:rPr>
      </w:pPr>
      <w:r>
        <w:rPr>
          <w:rFonts w:ascii="Times New Roman" w:hAnsi="Times New Roman"/>
          <w:b/>
          <w:bCs/>
        </w:rPr>
        <w:t>A) SAŽETAK RAČUNA PRIHODA I RASHODA</w:t>
      </w:r>
    </w:p>
    <w:tbl>
      <w:tblPr>
        <w:tblW w:w="11942" w:type="dxa"/>
        <w:jc w:val="left"/>
        <w:tblInd w:w="28" w:type="dxa"/>
        <w:tblLayout w:type="fixed"/>
        <w:tblCellMar>
          <w:top w:w="28" w:type="dxa"/>
          <w:left w:w="28" w:type="dxa"/>
          <w:bottom w:w="28" w:type="dxa"/>
          <w:right w:w="28" w:type="dxa"/>
        </w:tblCellMar>
      </w:tblPr>
      <w:tblGrid>
        <w:gridCol w:w="761"/>
        <w:gridCol w:w="596"/>
        <w:gridCol w:w="4856"/>
        <w:gridCol w:w="1466"/>
        <w:gridCol w:w="1481"/>
        <w:gridCol w:w="1706"/>
        <w:gridCol w:w="1076"/>
      </w:tblGrid>
      <w:tr>
        <w:trPr>
          <w:trHeight w:val="746" w:hRule="atLeast"/>
        </w:trPr>
        <w:tc>
          <w:tcPr>
            <w:tcW w:w="761" w:type="dxa"/>
            <w:tcBorders>
              <w:top w:val="single" w:sz="12" w:space="0" w:color="000000"/>
              <w:left w:val="single" w:sz="12" w:space="0" w:color="000000"/>
              <w:bottom w:val="single" w:sz="12" w:space="0" w:color="000000"/>
              <w:right w:val="single" w:sz="2" w:space="0" w:color="000000"/>
            </w:tcBorders>
            <w:vAlign w:val="bottom"/>
          </w:tcPr>
          <w:p>
            <w:pPr>
              <w:pStyle w:val="Sadrajitablice"/>
              <w:rPr>
                <w:b/>
                <w:color w:val="000000"/>
                <w:sz w:val="14"/>
              </w:rPr>
            </w:pPr>
            <w:r>
              <w:rPr>
                <w:b/>
                <w:color w:val="000000"/>
                <w:sz w:val="14"/>
              </w:rPr>
            </w:r>
          </w:p>
        </w:tc>
        <w:tc>
          <w:tcPr>
            <w:tcW w:w="59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BR.</w:t>
            </w:r>
          </w:p>
        </w:tc>
        <w:tc>
          <w:tcPr>
            <w:tcW w:w="485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VRSTA PRIHODA /IZDATAKA</w:t>
            </w:r>
          </w:p>
        </w:tc>
        <w:tc>
          <w:tcPr>
            <w:tcW w:w="146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2024.</w:t>
            </w:r>
          </w:p>
        </w:tc>
        <w:tc>
          <w:tcPr>
            <w:tcW w:w="1481"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REBALANS 2025.</w:t>
            </w:r>
          </w:p>
        </w:tc>
        <w:tc>
          <w:tcPr>
            <w:tcW w:w="170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2025.</w:t>
            </w:r>
          </w:p>
        </w:tc>
        <w:tc>
          <w:tcPr>
            <w:tcW w:w="1076" w:type="dxa"/>
            <w:tcBorders>
              <w:top w:val="single" w:sz="12" w:space="0" w:color="000000"/>
              <w:left w:val="single" w:sz="2" w:space="0" w:color="000000"/>
              <w:bottom w:val="single" w:sz="12" w:space="0" w:color="000000"/>
              <w:right w:val="single" w:sz="12" w:space="0" w:color="000000"/>
            </w:tcBorders>
            <w:vAlign w:val="bottom"/>
          </w:tcPr>
          <w:p>
            <w:pPr>
              <w:pStyle w:val="Sadrajitablice"/>
              <w:jc w:val="center"/>
              <w:rPr>
                <w:b/>
              </w:rPr>
            </w:pPr>
            <w:r>
              <w:rPr>
                <w:b/>
              </w:rPr>
              <w:t>%</w:t>
            </w:r>
          </w:p>
        </w:tc>
      </w:tr>
      <w:tr>
        <w:trPr>
          <w:trHeight w:val="311" w:hRule="atLeast"/>
        </w:trPr>
        <w:tc>
          <w:tcPr>
            <w:tcW w:w="761" w:type="dxa"/>
            <w:tcBorders>
              <w:left w:val="single" w:sz="12" w:space="0" w:color="000000"/>
              <w:bottom w:val="single" w:sz="2" w:space="0" w:color="000000"/>
              <w:right w:val="single" w:sz="2" w:space="0" w:color="000000"/>
            </w:tcBorders>
            <w:tcMar>
              <w:top w:w="0" w:type="dxa"/>
            </w:tcMar>
            <w:vAlign w:val="bottom"/>
          </w:tcPr>
          <w:p>
            <w:pPr>
              <w:pStyle w:val="Sadrajitablice"/>
              <w:rPr>
                <w:b/>
                <w:color w:val="000000"/>
                <w:sz w:val="14"/>
              </w:rPr>
            </w:pPr>
            <w:r>
              <w:rPr>
                <w:b/>
                <w:color w:val="000000"/>
                <w:sz w:val="14"/>
              </w:rPr>
            </w:r>
          </w:p>
        </w:tc>
        <w:tc>
          <w:tcPr>
            <w:tcW w:w="5452" w:type="dxa"/>
            <w:gridSpan w:val="2"/>
            <w:tcBorders>
              <w:left w:val="single" w:sz="2" w:space="0" w:color="000000"/>
              <w:bottom w:val="single" w:sz="2" w:space="0" w:color="000000"/>
              <w:right w:val="single" w:sz="2" w:space="0" w:color="000000"/>
            </w:tcBorders>
            <w:tcMar>
              <w:top w:w="0" w:type="dxa"/>
            </w:tcMar>
            <w:vAlign w:val="bottom"/>
          </w:tcPr>
          <w:p>
            <w:pPr>
              <w:pStyle w:val="Sadrajitablice"/>
              <w:jc w:val="left"/>
              <w:rPr>
                <w:b/>
                <w:sz w:val="14"/>
              </w:rPr>
            </w:pPr>
            <w:r>
              <w:rPr>
                <w:b/>
                <w:sz w:val="14"/>
              </w:rPr>
              <w:t>PRIHODI UKUPNO</w:t>
            </w:r>
          </w:p>
        </w:tc>
        <w:tc>
          <w:tcPr>
            <w:tcW w:w="1466" w:type="dxa"/>
            <w:tcBorders>
              <w:left w:val="single" w:sz="2" w:space="0" w:color="000000"/>
              <w:bottom w:val="single" w:sz="2" w:space="0" w:color="000000"/>
              <w:right w:val="single" w:sz="2" w:space="0" w:color="000000"/>
            </w:tcBorders>
            <w:tcMar>
              <w:top w:w="0" w:type="dxa"/>
            </w:tcMar>
            <w:vAlign w:val="bottom"/>
          </w:tcPr>
          <w:p>
            <w:pPr>
              <w:pStyle w:val="Sadrajitablice"/>
              <w:jc w:val="right"/>
              <w:rPr/>
            </w:pPr>
            <w:r>
              <w:rPr/>
              <w:t>598.521,55</w:t>
            </w:r>
          </w:p>
        </w:tc>
        <w:tc>
          <w:tcPr>
            <w:tcW w:w="1481" w:type="dxa"/>
            <w:tcBorders>
              <w:left w:val="single" w:sz="2" w:space="0" w:color="000000"/>
              <w:bottom w:val="single" w:sz="2" w:space="0" w:color="000000"/>
              <w:right w:val="single" w:sz="2" w:space="0" w:color="000000"/>
            </w:tcBorders>
            <w:tcMar>
              <w:top w:w="0" w:type="dxa"/>
            </w:tcMar>
            <w:vAlign w:val="bottom"/>
          </w:tcPr>
          <w:p>
            <w:pPr>
              <w:pStyle w:val="Sadrajitablice"/>
              <w:jc w:val="right"/>
              <w:rPr/>
            </w:pPr>
            <w:r>
              <w:rPr/>
              <w:t>2.276.089,00</w:t>
            </w:r>
          </w:p>
        </w:tc>
        <w:tc>
          <w:tcPr>
            <w:tcW w:w="1706" w:type="dxa"/>
            <w:tcBorders>
              <w:left w:val="single" w:sz="2" w:space="0" w:color="000000"/>
              <w:bottom w:val="single" w:sz="2" w:space="0" w:color="000000"/>
              <w:right w:val="single" w:sz="2" w:space="0" w:color="000000"/>
            </w:tcBorders>
            <w:tcMar>
              <w:top w:w="0" w:type="dxa"/>
            </w:tcMar>
            <w:vAlign w:val="bottom"/>
          </w:tcPr>
          <w:p>
            <w:pPr>
              <w:pStyle w:val="Sadrajitablice"/>
              <w:jc w:val="right"/>
              <w:rPr/>
            </w:pPr>
            <w:r>
              <w:rPr/>
              <w:t>630.052,83</w:t>
            </w:r>
          </w:p>
        </w:tc>
        <w:tc>
          <w:tcPr>
            <w:tcW w:w="1076" w:type="dxa"/>
            <w:tcBorders>
              <w:left w:val="single" w:sz="2" w:space="0" w:color="000000"/>
              <w:bottom w:val="single" w:sz="2" w:space="0" w:color="000000"/>
              <w:right w:val="single" w:sz="12" w:space="0" w:color="000000"/>
            </w:tcBorders>
            <w:tcMar>
              <w:top w:w="0" w:type="dxa"/>
            </w:tcMar>
            <w:vAlign w:val="bottom"/>
          </w:tcPr>
          <w:p>
            <w:pPr>
              <w:pStyle w:val="Sadrajitablice"/>
              <w:jc w:val="right"/>
              <w:rPr/>
            </w:pPr>
            <w:r>
              <w:rPr/>
              <w:t>27,68</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jc w:val="center"/>
              <w:rPr>
                <w:b/>
                <w:color w:val="000000"/>
                <w:sz w:val="14"/>
              </w:rPr>
            </w:pPr>
            <w:r>
              <w:rPr>
                <w:b/>
                <w:color w:val="000000"/>
                <w:sz w:val="14"/>
              </w:rPr>
              <w:t>6</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jc w:val="left"/>
              <w:rPr>
                <w:b/>
                <w:sz w:val="14"/>
              </w:rPr>
            </w:pPr>
            <w:r>
              <w:rPr>
                <w:b/>
                <w:sz w:val="14"/>
              </w:rPr>
              <w:t>PRIHODI POSLOVANJA</w:t>
            </w:r>
          </w:p>
        </w:tc>
        <w:tc>
          <w:tcPr>
            <w:tcW w:w="146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598.521,55</w:t>
            </w:r>
          </w:p>
        </w:tc>
        <w:tc>
          <w:tcPr>
            <w:tcW w:w="148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2.276.089,00</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630.052,83</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27,68</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jc w:val="center"/>
              <w:rPr>
                <w:b/>
                <w:color w:val="000000"/>
                <w:sz w:val="14"/>
              </w:rPr>
            </w:pPr>
            <w:r>
              <w:rPr>
                <w:b/>
                <w:color w:val="000000"/>
                <w:sz w:val="14"/>
              </w:rPr>
              <w:t>7</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jc w:val="left"/>
              <w:rPr>
                <w:b/>
                <w:sz w:val="14"/>
              </w:rPr>
            </w:pPr>
            <w:r>
              <w:rPr>
                <w:b/>
                <w:sz w:val="14"/>
              </w:rPr>
              <w:t>PRIHODI OD PRODAJE NEFINANCIJSKE IMOVINE</w:t>
            </w:r>
          </w:p>
        </w:tc>
        <w:tc>
          <w:tcPr>
            <w:tcW w:w="146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48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pPr>
            <w:r>
              <w:rPr/>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rPr>
                <w:b/>
                <w:color w:val="000000"/>
                <w:sz w:val="14"/>
              </w:rPr>
            </w:pPr>
            <w:r>
              <w:rPr>
                <w:b/>
                <w:color w:val="000000"/>
                <w:sz w:val="14"/>
              </w:rPr>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jc w:val="left"/>
              <w:rPr>
                <w:b/>
                <w:sz w:val="14"/>
              </w:rPr>
            </w:pPr>
            <w:r>
              <w:rPr>
                <w:b/>
                <w:sz w:val="14"/>
              </w:rPr>
              <w:t>RASHODI UKUPNO</w:t>
            </w:r>
          </w:p>
        </w:tc>
        <w:tc>
          <w:tcPr>
            <w:tcW w:w="146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351.281,33</w:t>
            </w:r>
          </w:p>
        </w:tc>
        <w:tc>
          <w:tcPr>
            <w:tcW w:w="148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2.647.917,81</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610.497,34</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23,06</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jc w:val="center"/>
              <w:rPr>
                <w:b/>
                <w:color w:val="000000"/>
                <w:sz w:val="14"/>
              </w:rPr>
            </w:pPr>
            <w:r>
              <w:rPr>
                <w:b/>
                <w:color w:val="000000"/>
                <w:sz w:val="14"/>
              </w:rPr>
              <w:t>3</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jc w:val="left"/>
              <w:rPr>
                <w:b/>
                <w:sz w:val="14"/>
              </w:rPr>
            </w:pPr>
            <w:r>
              <w:rPr>
                <w:b/>
                <w:sz w:val="14"/>
              </w:rPr>
              <w:t>RASHODI POSLOVANJA</w:t>
            </w:r>
          </w:p>
        </w:tc>
        <w:tc>
          <w:tcPr>
            <w:tcW w:w="146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324.034,33</w:t>
            </w:r>
          </w:p>
        </w:tc>
        <w:tc>
          <w:tcPr>
            <w:tcW w:w="148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1.028.089,00</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456.297,99</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44,38</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jc w:val="center"/>
              <w:rPr>
                <w:b/>
                <w:color w:val="000000"/>
                <w:sz w:val="14"/>
              </w:rPr>
            </w:pPr>
            <w:r>
              <w:rPr>
                <w:b/>
                <w:color w:val="000000"/>
                <w:sz w:val="14"/>
              </w:rPr>
              <w:t>4</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jc w:val="left"/>
              <w:rPr>
                <w:b/>
                <w:sz w:val="14"/>
              </w:rPr>
            </w:pPr>
            <w:r>
              <w:rPr>
                <w:b/>
                <w:sz w:val="14"/>
              </w:rPr>
              <w:t>RASHODI ZA NABAVU NEFINANCIJSKE IMOVINE</w:t>
            </w:r>
          </w:p>
        </w:tc>
        <w:tc>
          <w:tcPr>
            <w:tcW w:w="146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27.247,00</w:t>
            </w:r>
          </w:p>
        </w:tc>
        <w:tc>
          <w:tcPr>
            <w:tcW w:w="148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1.619.828,81</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154.199,35</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9,52</w:t>
            </w:r>
          </w:p>
        </w:tc>
      </w:tr>
      <w:tr>
        <w:trPr>
          <w:trHeight w:val="326" w:hRule="atLeast"/>
        </w:trPr>
        <w:tc>
          <w:tcPr>
            <w:tcW w:w="761" w:type="dxa"/>
            <w:tcBorders>
              <w:top w:val="single" w:sz="2" w:space="0" w:color="000000"/>
              <w:left w:val="single" w:sz="12" w:space="0" w:color="000000"/>
              <w:bottom w:val="single" w:sz="12" w:space="0" w:color="000000"/>
              <w:right w:val="single" w:sz="2" w:space="0" w:color="000000"/>
            </w:tcBorders>
            <w:vAlign w:val="bottom"/>
          </w:tcPr>
          <w:p>
            <w:pPr>
              <w:pStyle w:val="Sadrajitablice"/>
              <w:rPr>
                <w:b/>
                <w:color w:val="000000"/>
                <w:sz w:val="14"/>
              </w:rPr>
            </w:pPr>
            <w:r>
              <w:rPr>
                <w:b/>
                <w:color w:val="000000"/>
                <w:sz w:val="14"/>
              </w:rPr>
            </w:r>
          </w:p>
        </w:tc>
        <w:tc>
          <w:tcPr>
            <w:tcW w:w="596" w:type="dxa"/>
            <w:tcBorders>
              <w:top w:val="single" w:sz="2" w:space="0" w:color="000000"/>
              <w:left w:val="single" w:sz="2" w:space="0" w:color="000000"/>
              <w:bottom w:val="single" w:sz="12" w:space="0" w:color="000000"/>
              <w:right w:val="single" w:sz="2" w:space="0" w:color="000000"/>
            </w:tcBorders>
            <w:vAlign w:val="bottom"/>
          </w:tcPr>
          <w:p>
            <w:pPr>
              <w:pStyle w:val="Sadrajitablice"/>
              <w:rPr>
                <w:b/>
                <w:sz w:val="14"/>
              </w:rPr>
            </w:pPr>
            <w:r>
              <w:rPr>
                <w:b/>
                <w:sz w:val="14"/>
              </w:rPr>
            </w:r>
          </w:p>
        </w:tc>
        <w:tc>
          <w:tcPr>
            <w:tcW w:w="4856" w:type="dxa"/>
            <w:tcBorders>
              <w:top w:val="single" w:sz="2" w:space="0" w:color="000000"/>
              <w:left w:val="single" w:sz="2" w:space="0" w:color="000000"/>
              <w:bottom w:val="single" w:sz="12" w:space="0" w:color="000000"/>
              <w:right w:val="single" w:sz="2" w:space="0" w:color="000000"/>
            </w:tcBorders>
            <w:vAlign w:val="bottom"/>
          </w:tcPr>
          <w:p>
            <w:pPr>
              <w:pStyle w:val="Sadrajitablice"/>
              <w:jc w:val="left"/>
              <w:rPr>
                <w:b/>
                <w:sz w:val="14"/>
              </w:rPr>
            </w:pPr>
            <w:r>
              <w:rPr>
                <w:b/>
                <w:sz w:val="14"/>
              </w:rPr>
              <w:t>VIŠAK/MANJAK</w:t>
            </w:r>
          </w:p>
        </w:tc>
        <w:tc>
          <w:tcPr>
            <w:tcW w:w="146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color w:val="000000"/>
                <w:sz w:val="14"/>
              </w:rPr>
            </w:pPr>
            <w:r>
              <w:rPr>
                <w:b/>
                <w:color w:val="000000"/>
                <w:sz w:val="14"/>
              </w:rPr>
              <w:t>247.240,22</w:t>
            </w:r>
          </w:p>
        </w:tc>
        <w:tc>
          <w:tcPr>
            <w:tcW w:w="1481"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color w:val="FF0000"/>
                <w:sz w:val="14"/>
              </w:rPr>
            </w:pPr>
            <w:r>
              <w:rPr>
                <w:b/>
                <w:color w:val="FF0000"/>
                <w:sz w:val="14"/>
              </w:rPr>
              <w:t>371.828,81</w:t>
            </w:r>
          </w:p>
        </w:tc>
        <w:tc>
          <w:tcPr>
            <w:tcW w:w="170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color w:val="000000"/>
                <w:sz w:val="14"/>
              </w:rPr>
            </w:pPr>
            <w:r>
              <w:rPr>
                <w:b/>
                <w:color w:val="000000"/>
                <w:sz w:val="14"/>
              </w:rPr>
              <w:t>19.555,49</w:t>
            </w:r>
          </w:p>
        </w:tc>
        <w:tc>
          <w:tcPr>
            <w:tcW w:w="1076" w:type="dxa"/>
            <w:tcBorders>
              <w:top w:val="single" w:sz="2" w:space="0" w:color="000000"/>
              <w:left w:val="single" w:sz="2" w:space="0" w:color="000000"/>
              <w:bottom w:val="single" w:sz="12" w:space="0" w:color="000000"/>
              <w:right w:val="single" w:sz="12" w:space="0" w:color="000000"/>
            </w:tcBorders>
            <w:vAlign w:val="bottom"/>
          </w:tcPr>
          <w:p>
            <w:pPr>
              <w:pStyle w:val="Sadrajitablice"/>
              <w:jc w:val="right"/>
              <w:rPr>
                <w:color w:val="FF0000"/>
              </w:rPr>
            </w:pPr>
            <w:r>
              <w:rPr>
                <w:color w:val="FF0000"/>
              </w:rPr>
              <w:t>5,26</w:t>
            </w:r>
          </w:p>
        </w:tc>
      </w:tr>
    </w:tbl>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b/>
          <w:b/>
          <w:bCs/>
        </w:rPr>
      </w:pPr>
      <w:r>
        <w:rPr>
          <w:rFonts w:ascii="Times New Roman" w:hAnsi="Times New Roman"/>
          <w:b/>
          <w:bCs/>
        </w:rPr>
        <w:t>B) SAŽETAK RAČUNA FINANCIRANJA</w:t>
      </w:r>
    </w:p>
    <w:tbl>
      <w:tblPr>
        <w:tblW w:w="11942" w:type="dxa"/>
        <w:jc w:val="left"/>
        <w:tblInd w:w="28" w:type="dxa"/>
        <w:tblLayout w:type="fixed"/>
        <w:tblCellMar>
          <w:top w:w="28" w:type="dxa"/>
          <w:left w:w="28" w:type="dxa"/>
          <w:bottom w:w="28" w:type="dxa"/>
          <w:right w:w="28" w:type="dxa"/>
        </w:tblCellMar>
      </w:tblPr>
      <w:tblGrid>
        <w:gridCol w:w="761"/>
        <w:gridCol w:w="596"/>
        <w:gridCol w:w="4856"/>
        <w:gridCol w:w="1466"/>
        <w:gridCol w:w="1481"/>
        <w:gridCol w:w="1706"/>
        <w:gridCol w:w="1076"/>
      </w:tblGrid>
      <w:tr>
        <w:trPr>
          <w:trHeight w:val="746" w:hRule="atLeast"/>
        </w:trPr>
        <w:tc>
          <w:tcPr>
            <w:tcW w:w="761" w:type="dxa"/>
            <w:tcBorders>
              <w:top w:val="single" w:sz="12" w:space="0" w:color="000000"/>
              <w:left w:val="single" w:sz="12" w:space="0" w:color="000000"/>
              <w:bottom w:val="single" w:sz="12" w:space="0" w:color="000000"/>
              <w:right w:val="single" w:sz="2" w:space="0" w:color="000000"/>
            </w:tcBorders>
            <w:vAlign w:val="bottom"/>
          </w:tcPr>
          <w:p>
            <w:pPr>
              <w:pStyle w:val="Sadrajitablice"/>
              <w:rPr>
                <w:b/>
                <w:color w:val="000000"/>
                <w:sz w:val="14"/>
              </w:rPr>
            </w:pPr>
            <w:r>
              <w:rPr>
                <w:b/>
                <w:color w:val="000000"/>
                <w:sz w:val="14"/>
              </w:rPr>
            </w:r>
          </w:p>
        </w:tc>
        <w:tc>
          <w:tcPr>
            <w:tcW w:w="59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BR.</w:t>
            </w:r>
          </w:p>
        </w:tc>
        <w:tc>
          <w:tcPr>
            <w:tcW w:w="485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VRSTA PRIHODA /IZDATAKA</w:t>
            </w:r>
          </w:p>
        </w:tc>
        <w:tc>
          <w:tcPr>
            <w:tcW w:w="146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2024.</w:t>
            </w:r>
          </w:p>
        </w:tc>
        <w:tc>
          <w:tcPr>
            <w:tcW w:w="1481"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REBALANS 2025.</w:t>
            </w:r>
          </w:p>
        </w:tc>
        <w:tc>
          <w:tcPr>
            <w:tcW w:w="170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2025.</w:t>
            </w:r>
          </w:p>
        </w:tc>
        <w:tc>
          <w:tcPr>
            <w:tcW w:w="1076" w:type="dxa"/>
            <w:tcBorders>
              <w:top w:val="single" w:sz="12" w:space="0" w:color="000000"/>
              <w:left w:val="single" w:sz="2" w:space="0" w:color="000000"/>
              <w:bottom w:val="single" w:sz="12" w:space="0" w:color="000000"/>
              <w:right w:val="single" w:sz="12" w:space="0" w:color="000000"/>
            </w:tcBorders>
            <w:vAlign w:val="bottom"/>
          </w:tcPr>
          <w:p>
            <w:pPr>
              <w:pStyle w:val="Sadrajitablice"/>
              <w:jc w:val="center"/>
              <w:rPr>
                <w:b/>
              </w:rPr>
            </w:pPr>
            <w:r>
              <w:rPr>
                <w:b/>
              </w:rPr>
              <w:t>%</w:t>
            </w:r>
          </w:p>
        </w:tc>
      </w:tr>
      <w:tr>
        <w:trPr>
          <w:trHeight w:val="311" w:hRule="atLeast"/>
        </w:trPr>
        <w:tc>
          <w:tcPr>
            <w:tcW w:w="761" w:type="dxa"/>
            <w:tcBorders>
              <w:left w:val="single" w:sz="12" w:space="0" w:color="000000"/>
              <w:bottom w:val="single" w:sz="2" w:space="0" w:color="000000"/>
              <w:right w:val="single" w:sz="2" w:space="0" w:color="000000"/>
            </w:tcBorders>
            <w:tcMar>
              <w:top w:w="0" w:type="dxa"/>
            </w:tcMar>
            <w:vAlign w:val="bottom"/>
          </w:tcPr>
          <w:p>
            <w:pPr>
              <w:pStyle w:val="Sadrajitablice"/>
              <w:jc w:val="center"/>
              <w:rPr>
                <w:b/>
                <w:color w:val="000000"/>
                <w:sz w:val="14"/>
              </w:rPr>
            </w:pPr>
            <w:r>
              <w:rPr>
                <w:b/>
                <w:color w:val="000000"/>
                <w:sz w:val="14"/>
              </w:rPr>
              <w:t>8</w:t>
            </w:r>
          </w:p>
        </w:tc>
        <w:tc>
          <w:tcPr>
            <w:tcW w:w="5452" w:type="dxa"/>
            <w:gridSpan w:val="2"/>
            <w:tcBorders>
              <w:left w:val="single" w:sz="2" w:space="0" w:color="000000"/>
              <w:bottom w:val="single" w:sz="2" w:space="0" w:color="000000"/>
              <w:right w:val="single" w:sz="2" w:space="0" w:color="000000"/>
            </w:tcBorders>
            <w:tcMar>
              <w:top w:w="0" w:type="dxa"/>
            </w:tcMar>
            <w:vAlign w:val="bottom"/>
          </w:tcPr>
          <w:p>
            <w:pPr>
              <w:pStyle w:val="Sadrajitablice"/>
              <w:jc w:val="left"/>
              <w:rPr>
                <w:b/>
                <w:sz w:val="14"/>
              </w:rPr>
            </w:pPr>
            <w:r>
              <w:rPr>
                <w:b/>
                <w:sz w:val="14"/>
              </w:rPr>
              <w:t>PRIMICI OD FINANCIJSKE IMOVINE I ZADUŽIVANJA</w:t>
            </w:r>
          </w:p>
        </w:tc>
        <w:tc>
          <w:tcPr>
            <w:tcW w:w="1466" w:type="dxa"/>
            <w:tcBorders>
              <w:left w:val="single" w:sz="2" w:space="0" w:color="000000"/>
              <w:bottom w:val="single" w:sz="2" w:space="0" w:color="000000"/>
              <w:right w:val="single" w:sz="2" w:space="0" w:color="000000"/>
            </w:tcBorders>
            <w:tcMar>
              <w:top w:w="0" w:type="dxa"/>
            </w:tcMar>
            <w:vAlign w:val="bottom"/>
          </w:tcPr>
          <w:p>
            <w:pPr>
              <w:pStyle w:val="Sadrajitablice"/>
              <w:rPr/>
            </w:pPr>
            <w:r>
              <w:rPr/>
            </w:r>
          </w:p>
        </w:tc>
        <w:tc>
          <w:tcPr>
            <w:tcW w:w="1481" w:type="dxa"/>
            <w:tcBorders>
              <w:left w:val="single" w:sz="2" w:space="0" w:color="000000"/>
              <w:bottom w:val="single" w:sz="2" w:space="0" w:color="000000"/>
              <w:right w:val="single" w:sz="2" w:space="0" w:color="000000"/>
            </w:tcBorders>
            <w:tcMar>
              <w:top w:w="0" w:type="dxa"/>
            </w:tcMar>
            <w:vAlign w:val="bottom"/>
          </w:tcPr>
          <w:p>
            <w:pPr>
              <w:pStyle w:val="Sadrajitablice"/>
              <w:rPr/>
            </w:pPr>
            <w:r>
              <w:rPr/>
            </w:r>
          </w:p>
        </w:tc>
        <w:tc>
          <w:tcPr>
            <w:tcW w:w="1706" w:type="dxa"/>
            <w:tcBorders>
              <w:left w:val="single" w:sz="2" w:space="0" w:color="000000"/>
              <w:bottom w:val="single" w:sz="2" w:space="0" w:color="000000"/>
              <w:right w:val="single" w:sz="2" w:space="0" w:color="000000"/>
            </w:tcBorders>
            <w:tcMar>
              <w:top w:w="0" w:type="dxa"/>
            </w:tcMar>
            <w:vAlign w:val="bottom"/>
          </w:tcPr>
          <w:p>
            <w:pPr>
              <w:pStyle w:val="Sadrajitablice"/>
              <w:rPr/>
            </w:pPr>
            <w:r>
              <w:rPr/>
            </w:r>
          </w:p>
        </w:tc>
        <w:tc>
          <w:tcPr>
            <w:tcW w:w="1076" w:type="dxa"/>
            <w:tcBorders>
              <w:left w:val="single" w:sz="2" w:space="0" w:color="000000"/>
              <w:bottom w:val="single" w:sz="2" w:space="0" w:color="000000"/>
              <w:right w:val="single" w:sz="12" w:space="0" w:color="000000"/>
            </w:tcBorders>
            <w:tcMar>
              <w:top w:w="0" w:type="dxa"/>
            </w:tcMar>
            <w:vAlign w:val="bottom"/>
          </w:tcPr>
          <w:p>
            <w:pPr>
              <w:pStyle w:val="Sadrajitablice"/>
              <w:rPr/>
            </w:pPr>
            <w:r>
              <w:rPr/>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jc w:val="center"/>
              <w:rPr>
                <w:b/>
                <w:color w:val="000000"/>
                <w:sz w:val="14"/>
              </w:rPr>
            </w:pPr>
            <w:r>
              <w:rPr>
                <w:b/>
                <w:color w:val="000000"/>
                <w:sz w:val="14"/>
              </w:rPr>
              <w:t>5</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jc w:val="left"/>
              <w:rPr>
                <w:b/>
                <w:sz w:val="14"/>
              </w:rPr>
            </w:pPr>
            <w:r>
              <w:rPr>
                <w:b/>
                <w:sz w:val="14"/>
              </w:rPr>
              <w:t>IZDACI ZA FINANCIJSKU IMOVINU I OTPLATE ZAJMOVA</w:t>
            </w:r>
          </w:p>
        </w:tc>
        <w:tc>
          <w:tcPr>
            <w:tcW w:w="146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481"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pPr>
            <w:r>
              <w:rPr/>
            </w:r>
          </w:p>
        </w:tc>
      </w:tr>
      <w:tr>
        <w:trPr>
          <w:trHeight w:val="326" w:hRule="atLeast"/>
        </w:trPr>
        <w:tc>
          <w:tcPr>
            <w:tcW w:w="761" w:type="dxa"/>
            <w:tcBorders>
              <w:top w:val="single" w:sz="2" w:space="0" w:color="000000"/>
              <w:left w:val="single" w:sz="12" w:space="0" w:color="000000"/>
              <w:bottom w:val="single" w:sz="12" w:space="0" w:color="000000"/>
              <w:right w:val="single" w:sz="2" w:space="0" w:color="000000"/>
            </w:tcBorders>
            <w:vAlign w:val="center"/>
          </w:tcPr>
          <w:p>
            <w:pPr>
              <w:pStyle w:val="Sadrajitablice"/>
              <w:rPr>
                <w:rFonts w:ascii="Arial Narrow" w:hAnsi="Arial Narrow"/>
                <w:b/>
                <w:color w:val="000000"/>
                <w:sz w:val="14"/>
              </w:rPr>
            </w:pPr>
            <w:r>
              <w:rPr>
                <w:rFonts w:ascii="Arial Narrow" w:hAnsi="Arial Narrow"/>
                <w:b/>
                <w:color w:val="000000"/>
                <w:sz w:val="14"/>
              </w:rPr>
            </w:r>
          </w:p>
        </w:tc>
        <w:tc>
          <w:tcPr>
            <w:tcW w:w="5452" w:type="dxa"/>
            <w:gridSpan w:val="2"/>
            <w:tcBorders>
              <w:top w:val="single" w:sz="2" w:space="0" w:color="000000"/>
              <w:left w:val="single" w:sz="2" w:space="0" w:color="000000"/>
              <w:bottom w:val="single" w:sz="12" w:space="0" w:color="000000"/>
              <w:right w:val="single" w:sz="2" w:space="0" w:color="000000"/>
            </w:tcBorders>
            <w:vAlign w:val="bottom"/>
          </w:tcPr>
          <w:p>
            <w:pPr>
              <w:pStyle w:val="Sadrajitablice"/>
              <w:jc w:val="left"/>
              <w:rPr>
                <w:b/>
                <w:sz w:val="14"/>
              </w:rPr>
            </w:pPr>
            <w:r>
              <w:rPr>
                <w:b/>
                <w:sz w:val="14"/>
              </w:rPr>
              <w:t>NETO FINANCIRANJE</w:t>
            </w:r>
          </w:p>
        </w:tc>
        <w:tc>
          <w:tcPr>
            <w:tcW w:w="1466" w:type="dxa"/>
            <w:tcBorders>
              <w:top w:val="single" w:sz="2" w:space="0" w:color="000000"/>
              <w:left w:val="single" w:sz="2" w:space="0" w:color="000000"/>
              <w:bottom w:val="single" w:sz="12" w:space="0" w:color="000000"/>
              <w:right w:val="single" w:sz="2" w:space="0" w:color="000000"/>
            </w:tcBorders>
            <w:vAlign w:val="bottom"/>
          </w:tcPr>
          <w:p>
            <w:pPr>
              <w:pStyle w:val="Sadrajitablice"/>
              <w:rPr/>
            </w:pPr>
            <w:r>
              <w:rPr/>
            </w:r>
          </w:p>
        </w:tc>
        <w:tc>
          <w:tcPr>
            <w:tcW w:w="1481" w:type="dxa"/>
            <w:tcBorders>
              <w:top w:val="single" w:sz="2" w:space="0" w:color="000000"/>
              <w:left w:val="single" w:sz="2" w:space="0" w:color="000000"/>
              <w:bottom w:val="single" w:sz="12" w:space="0" w:color="000000"/>
              <w:right w:val="single" w:sz="2" w:space="0" w:color="000000"/>
            </w:tcBorders>
            <w:vAlign w:val="bottom"/>
          </w:tcPr>
          <w:p>
            <w:pPr>
              <w:pStyle w:val="Sadrajitablice"/>
              <w:rPr/>
            </w:pPr>
            <w:r>
              <w:rPr/>
            </w:r>
          </w:p>
        </w:tc>
        <w:tc>
          <w:tcPr>
            <w:tcW w:w="1706" w:type="dxa"/>
            <w:tcBorders>
              <w:top w:val="single" w:sz="2" w:space="0" w:color="000000"/>
              <w:left w:val="single" w:sz="2" w:space="0" w:color="000000"/>
              <w:bottom w:val="single" w:sz="1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12" w:space="0" w:color="000000"/>
              <w:right w:val="single" w:sz="12" w:space="0" w:color="000000"/>
            </w:tcBorders>
            <w:vAlign w:val="bottom"/>
          </w:tcPr>
          <w:p>
            <w:pPr>
              <w:pStyle w:val="Sadrajitablice"/>
              <w:rPr/>
            </w:pPr>
            <w:r>
              <w:rPr/>
            </w:r>
          </w:p>
        </w:tc>
      </w:tr>
    </w:tbl>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b/>
          <w:b/>
          <w:bCs/>
        </w:rPr>
      </w:pPr>
      <w:r>
        <w:rPr>
          <w:rFonts w:ascii="Times New Roman" w:hAnsi="Times New Roman"/>
          <w:b/>
          <w:bCs/>
        </w:rPr>
        <w:t>C) PRENESENI VIŠAK ILI PRENESENI MANJAK</w:t>
      </w:r>
    </w:p>
    <w:tbl>
      <w:tblPr>
        <w:tblW w:w="11942" w:type="dxa"/>
        <w:jc w:val="left"/>
        <w:tblInd w:w="28" w:type="dxa"/>
        <w:tblLayout w:type="fixed"/>
        <w:tblCellMar>
          <w:top w:w="28" w:type="dxa"/>
          <w:left w:w="28" w:type="dxa"/>
          <w:bottom w:w="0" w:type="dxa"/>
          <w:right w:w="28" w:type="dxa"/>
        </w:tblCellMar>
      </w:tblPr>
      <w:tblGrid>
        <w:gridCol w:w="761"/>
        <w:gridCol w:w="596"/>
        <w:gridCol w:w="4856"/>
        <w:gridCol w:w="1466"/>
        <w:gridCol w:w="1481"/>
        <w:gridCol w:w="1706"/>
        <w:gridCol w:w="1076"/>
      </w:tblGrid>
      <w:tr>
        <w:trPr>
          <w:trHeight w:val="746" w:hRule="atLeast"/>
        </w:trPr>
        <w:tc>
          <w:tcPr>
            <w:tcW w:w="761" w:type="dxa"/>
            <w:tcBorders>
              <w:top w:val="single" w:sz="12" w:space="0" w:color="000000"/>
              <w:left w:val="single" w:sz="12" w:space="0" w:color="000000"/>
              <w:right w:val="single" w:sz="2" w:space="0" w:color="000000"/>
            </w:tcBorders>
            <w:vAlign w:val="bottom"/>
          </w:tcPr>
          <w:p>
            <w:pPr>
              <w:pStyle w:val="Sadrajitablice"/>
              <w:rPr>
                <w:b/>
                <w:color w:val="000000"/>
                <w:sz w:val="14"/>
              </w:rPr>
            </w:pPr>
            <w:r>
              <w:rPr>
                <w:b/>
                <w:color w:val="000000"/>
                <w:sz w:val="14"/>
              </w:rPr>
            </w:r>
          </w:p>
        </w:tc>
        <w:tc>
          <w:tcPr>
            <w:tcW w:w="596" w:type="dxa"/>
            <w:tcBorders>
              <w:top w:val="single" w:sz="12" w:space="0" w:color="000000"/>
              <w:left w:val="single" w:sz="2" w:space="0" w:color="000000"/>
              <w:right w:val="single" w:sz="2" w:space="0" w:color="000000"/>
            </w:tcBorders>
            <w:vAlign w:val="bottom"/>
          </w:tcPr>
          <w:p>
            <w:pPr>
              <w:pStyle w:val="Sadrajitablice"/>
              <w:jc w:val="center"/>
              <w:rPr>
                <w:b/>
              </w:rPr>
            </w:pPr>
            <w:r>
              <w:rPr>
                <w:b/>
              </w:rPr>
              <w:t>BR.</w:t>
            </w:r>
          </w:p>
        </w:tc>
        <w:tc>
          <w:tcPr>
            <w:tcW w:w="4856" w:type="dxa"/>
            <w:tcBorders>
              <w:top w:val="single" w:sz="12" w:space="0" w:color="000000"/>
              <w:left w:val="single" w:sz="2" w:space="0" w:color="000000"/>
              <w:right w:val="single" w:sz="2" w:space="0" w:color="000000"/>
            </w:tcBorders>
            <w:vAlign w:val="bottom"/>
          </w:tcPr>
          <w:p>
            <w:pPr>
              <w:pStyle w:val="Sadrajitablice"/>
              <w:jc w:val="center"/>
              <w:rPr>
                <w:b/>
              </w:rPr>
            </w:pPr>
            <w:r>
              <w:rPr>
                <w:b/>
              </w:rPr>
              <w:t>VRSTA PRIHODA /IZDATAKA</w:t>
            </w:r>
          </w:p>
        </w:tc>
        <w:tc>
          <w:tcPr>
            <w:tcW w:w="1466" w:type="dxa"/>
            <w:tcBorders>
              <w:top w:val="single" w:sz="12" w:space="0" w:color="000000"/>
              <w:left w:val="single" w:sz="2" w:space="0" w:color="000000"/>
              <w:right w:val="single" w:sz="2" w:space="0" w:color="000000"/>
            </w:tcBorders>
            <w:vAlign w:val="bottom"/>
          </w:tcPr>
          <w:p>
            <w:pPr>
              <w:pStyle w:val="Sadrajitablice"/>
              <w:jc w:val="center"/>
              <w:rPr>
                <w:b/>
              </w:rPr>
            </w:pPr>
            <w:r>
              <w:rPr>
                <w:b/>
              </w:rPr>
              <w:t>IZVRŠENJE I-VI 2024.</w:t>
            </w:r>
          </w:p>
        </w:tc>
        <w:tc>
          <w:tcPr>
            <w:tcW w:w="1481" w:type="dxa"/>
            <w:tcBorders>
              <w:top w:val="single" w:sz="12" w:space="0" w:color="000000"/>
              <w:left w:val="single" w:sz="2" w:space="0" w:color="000000"/>
              <w:right w:val="single" w:sz="2" w:space="0" w:color="000000"/>
            </w:tcBorders>
            <w:vAlign w:val="bottom"/>
          </w:tcPr>
          <w:p>
            <w:pPr>
              <w:pStyle w:val="Sadrajitablice"/>
              <w:jc w:val="center"/>
              <w:rPr>
                <w:b/>
              </w:rPr>
            </w:pPr>
            <w:r>
              <w:rPr>
                <w:b/>
              </w:rPr>
              <w:t>REBALANS 2025.</w:t>
            </w:r>
          </w:p>
        </w:tc>
        <w:tc>
          <w:tcPr>
            <w:tcW w:w="1706" w:type="dxa"/>
            <w:tcBorders>
              <w:top w:val="single" w:sz="12" w:space="0" w:color="000000"/>
              <w:left w:val="single" w:sz="2" w:space="0" w:color="000000"/>
              <w:right w:val="single" w:sz="12" w:space="0" w:color="000000"/>
            </w:tcBorders>
            <w:vAlign w:val="bottom"/>
          </w:tcPr>
          <w:p>
            <w:pPr>
              <w:pStyle w:val="Sadrajitablice"/>
              <w:jc w:val="center"/>
              <w:rPr>
                <w:b/>
              </w:rPr>
            </w:pPr>
            <w:r>
              <w:rPr>
                <w:b/>
              </w:rPr>
              <w:t>IZVRŠENJE I-VI 2025.</w:t>
            </w:r>
          </w:p>
        </w:tc>
        <w:tc>
          <w:tcPr>
            <w:tcW w:w="1076" w:type="dxa"/>
            <w:tcBorders>
              <w:top w:val="single" w:sz="12" w:space="0" w:color="000000"/>
              <w:left w:val="single" w:sz="2" w:space="0" w:color="000000"/>
              <w:right w:val="single" w:sz="12" w:space="0" w:color="000000"/>
            </w:tcBorders>
            <w:vAlign w:val="bottom"/>
          </w:tcPr>
          <w:p>
            <w:pPr>
              <w:pStyle w:val="Sadrajitablice"/>
              <w:jc w:val="center"/>
              <w:rPr>
                <w:b/>
              </w:rPr>
            </w:pPr>
            <w:r>
              <w:rPr>
                <w:b/>
              </w:rPr>
              <w:t>%</w:t>
            </w:r>
          </w:p>
        </w:tc>
      </w:tr>
      <w:tr>
        <w:trPr>
          <w:trHeight w:val="311" w:hRule="atLeast"/>
        </w:trPr>
        <w:tc>
          <w:tcPr>
            <w:tcW w:w="761" w:type="dxa"/>
            <w:tcBorders>
              <w:top w:val="single" w:sz="12" w:space="0" w:color="000000"/>
              <w:left w:val="single" w:sz="12" w:space="0" w:color="000000"/>
              <w:bottom w:val="single" w:sz="2" w:space="0" w:color="000000"/>
              <w:right w:val="single" w:sz="2" w:space="0" w:color="000000"/>
            </w:tcBorders>
            <w:tcMar>
              <w:bottom w:w="28" w:type="dxa"/>
            </w:tcMar>
            <w:vAlign w:val="bottom"/>
          </w:tcPr>
          <w:p>
            <w:pPr>
              <w:pStyle w:val="Sadrajitablice"/>
              <w:rPr>
                <w:b/>
                <w:color w:val="000000"/>
                <w:sz w:val="14"/>
              </w:rPr>
            </w:pPr>
            <w:r>
              <w:rPr>
                <w:b/>
                <w:color w:val="000000"/>
                <w:sz w:val="14"/>
              </w:rPr>
            </w:r>
          </w:p>
        </w:tc>
        <w:tc>
          <w:tcPr>
            <w:tcW w:w="5452" w:type="dxa"/>
            <w:gridSpan w:val="2"/>
            <w:tcBorders>
              <w:top w:val="single" w:sz="12" w:space="0" w:color="000000"/>
              <w:left w:val="single" w:sz="2" w:space="0" w:color="000000"/>
              <w:bottom w:val="single" w:sz="2" w:space="0" w:color="000000"/>
              <w:right w:val="single" w:sz="2" w:space="0" w:color="000000"/>
            </w:tcBorders>
            <w:tcMar>
              <w:bottom w:w="28" w:type="dxa"/>
            </w:tcMar>
            <w:vAlign w:val="bottom"/>
          </w:tcPr>
          <w:p>
            <w:pPr>
              <w:pStyle w:val="Sadrajitablice"/>
              <w:jc w:val="left"/>
              <w:rPr>
                <w:b/>
                <w:color w:val="000000"/>
                <w:sz w:val="14"/>
              </w:rPr>
            </w:pPr>
            <w:r>
              <w:rPr>
                <w:b/>
                <w:color w:val="000000"/>
                <w:sz w:val="14"/>
              </w:rPr>
              <w:t>UKUPAN DONOS VIŠKA/MANJKA IZ PRETHODNE(IH) GODINA</w:t>
            </w:r>
          </w:p>
        </w:tc>
        <w:tc>
          <w:tcPr>
            <w:tcW w:w="1466" w:type="dxa"/>
            <w:tcBorders>
              <w:top w:val="single" w:sz="12" w:space="0" w:color="000000"/>
              <w:left w:val="single" w:sz="2" w:space="0" w:color="000000"/>
              <w:bottom w:val="single" w:sz="2" w:space="0" w:color="000000"/>
              <w:right w:val="single" w:sz="2" w:space="0" w:color="000000"/>
            </w:tcBorders>
            <w:tcMar>
              <w:bottom w:w="28" w:type="dxa"/>
            </w:tcMar>
            <w:vAlign w:val="bottom"/>
          </w:tcPr>
          <w:p>
            <w:pPr>
              <w:pStyle w:val="Sadrajitablice"/>
              <w:jc w:val="right"/>
              <w:rPr/>
            </w:pPr>
            <w:r>
              <w:rPr/>
              <w:t>0,00</w:t>
            </w:r>
          </w:p>
        </w:tc>
        <w:tc>
          <w:tcPr>
            <w:tcW w:w="1481" w:type="dxa"/>
            <w:tcBorders>
              <w:top w:val="single" w:sz="12" w:space="0" w:color="000000"/>
              <w:left w:val="single" w:sz="2" w:space="0" w:color="000000"/>
              <w:bottom w:val="single" w:sz="2" w:space="0" w:color="000000"/>
              <w:right w:val="single" w:sz="2" w:space="0" w:color="000000"/>
            </w:tcBorders>
            <w:tcMar>
              <w:bottom w:w="28" w:type="dxa"/>
            </w:tcMar>
            <w:vAlign w:val="bottom"/>
          </w:tcPr>
          <w:p>
            <w:pPr>
              <w:pStyle w:val="Sadrajitablice"/>
              <w:jc w:val="right"/>
              <w:rPr/>
            </w:pPr>
            <w:r>
              <w:rPr/>
              <w:t>371.828,81</w:t>
            </w:r>
          </w:p>
        </w:tc>
        <w:tc>
          <w:tcPr>
            <w:tcW w:w="1706" w:type="dxa"/>
            <w:tcBorders>
              <w:top w:val="single" w:sz="12" w:space="0" w:color="000000"/>
              <w:left w:val="single" w:sz="2" w:space="0" w:color="000000"/>
              <w:bottom w:val="single" w:sz="2" w:space="0" w:color="000000"/>
              <w:right w:val="single" w:sz="2" w:space="0" w:color="000000"/>
            </w:tcBorders>
            <w:tcMar>
              <w:bottom w:w="28" w:type="dxa"/>
            </w:tcMar>
            <w:vAlign w:val="bottom"/>
          </w:tcPr>
          <w:p>
            <w:pPr>
              <w:pStyle w:val="Sadrajitablice"/>
              <w:jc w:val="right"/>
              <w:rPr/>
            </w:pPr>
            <w:r>
              <w:rPr/>
              <w:t>371.828,81</w:t>
            </w:r>
          </w:p>
        </w:tc>
        <w:tc>
          <w:tcPr>
            <w:tcW w:w="1076" w:type="dxa"/>
            <w:tcBorders>
              <w:top w:val="single" w:sz="12" w:space="0" w:color="000000"/>
              <w:left w:val="single" w:sz="2" w:space="0" w:color="000000"/>
              <w:bottom w:val="single" w:sz="2" w:space="0" w:color="000000"/>
              <w:right w:val="single" w:sz="12" w:space="0" w:color="000000"/>
            </w:tcBorders>
            <w:tcMar>
              <w:bottom w:w="28" w:type="dxa"/>
            </w:tcMar>
            <w:vAlign w:val="bottom"/>
          </w:tcPr>
          <w:p>
            <w:pPr>
              <w:pStyle w:val="Sadrajitablice"/>
              <w:jc w:val="right"/>
              <w:rPr/>
            </w:pPr>
            <w:r>
              <w:rPr/>
              <w:t>100,00</w:t>
            </w:r>
          </w:p>
        </w:tc>
      </w:tr>
      <w:tr>
        <w:trPr>
          <w:trHeight w:val="326" w:hRule="atLeast"/>
        </w:trPr>
        <w:tc>
          <w:tcPr>
            <w:tcW w:w="761" w:type="dxa"/>
            <w:tcBorders>
              <w:top w:val="single" w:sz="2" w:space="0" w:color="000000"/>
              <w:left w:val="single" w:sz="12" w:space="0" w:color="000000"/>
              <w:bottom w:val="single" w:sz="12" w:space="0" w:color="000000"/>
              <w:right w:val="single" w:sz="2" w:space="0" w:color="000000"/>
            </w:tcBorders>
            <w:tcMar>
              <w:bottom w:w="28" w:type="dxa"/>
            </w:tcMar>
            <w:vAlign w:val="bottom"/>
          </w:tcPr>
          <w:p>
            <w:pPr>
              <w:pStyle w:val="Sadrajitablice"/>
              <w:rPr>
                <w:b/>
                <w:color w:val="000000"/>
                <w:sz w:val="14"/>
              </w:rPr>
            </w:pPr>
            <w:r>
              <w:rPr>
                <w:b/>
                <w:color w:val="000000"/>
                <w:sz w:val="14"/>
              </w:rPr>
            </w:r>
          </w:p>
        </w:tc>
        <w:tc>
          <w:tcPr>
            <w:tcW w:w="5452" w:type="dxa"/>
            <w:gridSpan w:val="2"/>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jc w:val="left"/>
              <w:rPr>
                <w:b/>
                <w:color w:val="000000"/>
                <w:sz w:val="14"/>
              </w:rPr>
            </w:pPr>
            <w:r>
              <w:rPr>
                <w:b/>
                <w:color w:val="000000"/>
                <w:sz w:val="14"/>
              </w:rPr>
              <w:t>VIŠAK/MANJAK IZ PRETHODNE(IH) GODINE KOJI ĆE SE POKRITI/RASPOREDITI</w:t>
            </w:r>
          </w:p>
        </w:tc>
        <w:tc>
          <w:tcPr>
            <w:tcW w:w="1466" w:type="dxa"/>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jc w:val="right"/>
              <w:rPr/>
            </w:pPr>
            <w:r>
              <w:rPr/>
              <w:t>0,00</w:t>
            </w:r>
          </w:p>
        </w:tc>
        <w:tc>
          <w:tcPr>
            <w:tcW w:w="1481" w:type="dxa"/>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rPr/>
            </w:pPr>
            <w:r>
              <w:rPr/>
            </w:r>
          </w:p>
        </w:tc>
        <w:tc>
          <w:tcPr>
            <w:tcW w:w="1706" w:type="dxa"/>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jc w:val="right"/>
              <w:rPr/>
            </w:pPr>
            <w:r>
              <w:rPr/>
              <w:t>371.828,81</w:t>
            </w:r>
          </w:p>
        </w:tc>
        <w:tc>
          <w:tcPr>
            <w:tcW w:w="1076" w:type="dxa"/>
            <w:tcBorders>
              <w:top w:val="single" w:sz="2" w:space="0" w:color="000000"/>
              <w:left w:val="single" w:sz="2" w:space="0" w:color="000000"/>
              <w:bottom w:val="single" w:sz="12" w:space="0" w:color="000000"/>
              <w:right w:val="single" w:sz="12" w:space="0" w:color="000000"/>
            </w:tcBorders>
            <w:tcMar>
              <w:bottom w:w="28" w:type="dxa"/>
            </w:tcMar>
            <w:vAlign w:val="bottom"/>
          </w:tcPr>
          <w:p>
            <w:pPr>
              <w:pStyle w:val="Sadrajitablice"/>
              <w:rPr/>
            </w:pPr>
            <w:r>
              <w:rPr/>
            </w:r>
          </w:p>
        </w:tc>
      </w:tr>
    </w:tbl>
    <w:p>
      <w:pPr>
        <w:pStyle w:val="Normal"/>
        <w:bidi w:val="0"/>
        <w:jc w:val="center"/>
        <w:rPr>
          <w:rFonts w:ascii="Times New Roman" w:hAnsi="Times New Roman"/>
          <w:b/>
          <w:b/>
          <w:bCs/>
        </w:rPr>
      </w:pPr>
      <w:r>
        <w:rPr/>
      </w:r>
    </w:p>
    <w:p>
      <w:pPr>
        <w:pStyle w:val="Normal"/>
        <w:bidi w:val="0"/>
        <w:jc w:val="center"/>
        <w:rPr>
          <w:rFonts w:ascii="Times New Roman" w:hAnsi="Times New Roman"/>
          <w:b/>
          <w:b/>
          <w:bCs/>
        </w:rPr>
      </w:pPr>
      <w:r>
        <w:rPr>
          <w:rFonts w:ascii="Times New Roman" w:hAnsi="Times New Roman"/>
          <w:b/>
          <w:bCs/>
        </w:rPr>
        <w:t>D) VIŠEGODIŠNJI PLAN URAVNOTEŽENJA PRENESENI VIŠAK ILI PRENESENI MANJAK</w:t>
      </w:r>
    </w:p>
    <w:tbl>
      <w:tblPr>
        <w:tblW w:w="12278" w:type="dxa"/>
        <w:jc w:val="left"/>
        <w:tblInd w:w="28" w:type="dxa"/>
        <w:tblLayout w:type="fixed"/>
        <w:tblCellMar>
          <w:top w:w="28" w:type="dxa"/>
          <w:left w:w="28" w:type="dxa"/>
          <w:bottom w:w="0" w:type="dxa"/>
          <w:right w:w="28" w:type="dxa"/>
        </w:tblCellMar>
      </w:tblPr>
      <w:tblGrid>
        <w:gridCol w:w="761"/>
        <w:gridCol w:w="932"/>
        <w:gridCol w:w="4856"/>
        <w:gridCol w:w="1466"/>
        <w:gridCol w:w="1481"/>
        <w:gridCol w:w="1706"/>
        <w:gridCol w:w="1076"/>
      </w:tblGrid>
      <w:tr>
        <w:trPr>
          <w:trHeight w:val="746" w:hRule="atLeast"/>
        </w:trPr>
        <w:tc>
          <w:tcPr>
            <w:tcW w:w="761" w:type="dxa"/>
            <w:tcBorders>
              <w:top w:val="single" w:sz="12" w:space="0" w:color="000000"/>
              <w:left w:val="single" w:sz="12" w:space="0" w:color="000000"/>
              <w:right w:val="single" w:sz="2" w:space="0" w:color="000000"/>
            </w:tcBorders>
            <w:vAlign w:val="bottom"/>
          </w:tcPr>
          <w:p>
            <w:pPr>
              <w:pStyle w:val="Sadrajitablice"/>
              <w:rPr>
                <w:b/>
                <w:color w:val="000000"/>
                <w:sz w:val="14"/>
              </w:rPr>
            </w:pPr>
            <w:r>
              <w:rPr>
                <w:b/>
                <w:color w:val="000000"/>
                <w:sz w:val="14"/>
              </w:rPr>
            </w:r>
          </w:p>
        </w:tc>
        <w:tc>
          <w:tcPr>
            <w:tcW w:w="932" w:type="dxa"/>
            <w:tcBorders>
              <w:top w:val="single" w:sz="12" w:space="0" w:color="000000"/>
              <w:left w:val="single" w:sz="2" w:space="0" w:color="000000"/>
              <w:right w:val="single" w:sz="2" w:space="0" w:color="000000"/>
            </w:tcBorders>
            <w:vAlign w:val="bottom"/>
          </w:tcPr>
          <w:p>
            <w:pPr>
              <w:pStyle w:val="Sadrajitablice"/>
              <w:jc w:val="center"/>
              <w:rPr>
                <w:b/>
              </w:rPr>
            </w:pPr>
            <w:r>
              <w:rPr>
                <w:b/>
              </w:rPr>
              <w:t>BR.</w:t>
            </w:r>
          </w:p>
        </w:tc>
        <w:tc>
          <w:tcPr>
            <w:tcW w:w="4856" w:type="dxa"/>
            <w:tcBorders>
              <w:top w:val="single" w:sz="12" w:space="0" w:color="000000"/>
              <w:left w:val="single" w:sz="2" w:space="0" w:color="000000"/>
              <w:right w:val="single" w:sz="2" w:space="0" w:color="000000"/>
            </w:tcBorders>
            <w:vAlign w:val="bottom"/>
          </w:tcPr>
          <w:p>
            <w:pPr>
              <w:pStyle w:val="Sadrajitablice"/>
              <w:jc w:val="center"/>
              <w:rPr>
                <w:b/>
              </w:rPr>
            </w:pPr>
            <w:r>
              <w:rPr>
                <w:b/>
              </w:rPr>
              <w:t>VRSTA PRIHODA /IZDATAKA</w:t>
            </w:r>
          </w:p>
        </w:tc>
        <w:tc>
          <w:tcPr>
            <w:tcW w:w="1466" w:type="dxa"/>
            <w:tcBorders>
              <w:top w:val="single" w:sz="12" w:space="0" w:color="000000"/>
              <w:left w:val="single" w:sz="2" w:space="0" w:color="000000"/>
              <w:right w:val="single" w:sz="2" w:space="0" w:color="000000"/>
            </w:tcBorders>
            <w:vAlign w:val="bottom"/>
          </w:tcPr>
          <w:p>
            <w:pPr>
              <w:pStyle w:val="Sadrajitablice"/>
              <w:jc w:val="center"/>
              <w:rPr>
                <w:b/>
              </w:rPr>
            </w:pPr>
            <w:r>
              <w:rPr>
                <w:b/>
              </w:rPr>
              <w:t>IZVRŠENJE I-VI 2024.</w:t>
            </w:r>
          </w:p>
        </w:tc>
        <w:tc>
          <w:tcPr>
            <w:tcW w:w="1481" w:type="dxa"/>
            <w:tcBorders>
              <w:top w:val="single" w:sz="12" w:space="0" w:color="000000"/>
              <w:left w:val="single" w:sz="2" w:space="0" w:color="000000"/>
              <w:right w:val="single" w:sz="2" w:space="0" w:color="000000"/>
            </w:tcBorders>
            <w:vAlign w:val="bottom"/>
          </w:tcPr>
          <w:p>
            <w:pPr>
              <w:pStyle w:val="Sadrajitablice"/>
              <w:jc w:val="center"/>
              <w:rPr>
                <w:b/>
              </w:rPr>
            </w:pPr>
            <w:r>
              <w:rPr>
                <w:b/>
              </w:rPr>
              <w:t>REBALANS 2025.</w:t>
            </w:r>
          </w:p>
        </w:tc>
        <w:tc>
          <w:tcPr>
            <w:tcW w:w="1706" w:type="dxa"/>
            <w:tcBorders>
              <w:top w:val="single" w:sz="12" w:space="0" w:color="000000"/>
              <w:left w:val="single" w:sz="2" w:space="0" w:color="000000"/>
              <w:right w:val="single" w:sz="12" w:space="0" w:color="000000"/>
            </w:tcBorders>
            <w:vAlign w:val="bottom"/>
          </w:tcPr>
          <w:p>
            <w:pPr>
              <w:pStyle w:val="Sadrajitablice"/>
              <w:jc w:val="center"/>
              <w:rPr>
                <w:b/>
              </w:rPr>
            </w:pPr>
            <w:r>
              <w:rPr>
                <w:b/>
              </w:rPr>
              <w:t>IZVRŠENJE I-VI 2025.</w:t>
            </w:r>
          </w:p>
        </w:tc>
        <w:tc>
          <w:tcPr>
            <w:tcW w:w="1076" w:type="dxa"/>
            <w:tcBorders>
              <w:top w:val="single" w:sz="12" w:space="0" w:color="000000"/>
              <w:left w:val="single" w:sz="2" w:space="0" w:color="000000"/>
              <w:right w:val="single" w:sz="12" w:space="0" w:color="000000"/>
            </w:tcBorders>
            <w:vAlign w:val="bottom"/>
          </w:tcPr>
          <w:p>
            <w:pPr>
              <w:pStyle w:val="Sadrajitablice"/>
              <w:jc w:val="center"/>
              <w:rPr>
                <w:b/>
              </w:rPr>
            </w:pPr>
            <w:r>
              <w:rPr>
                <w:b/>
              </w:rPr>
              <w:t>%</w:t>
            </w:r>
          </w:p>
        </w:tc>
      </w:tr>
      <w:tr>
        <w:trPr>
          <w:trHeight w:val="311" w:hRule="atLeast"/>
        </w:trPr>
        <w:tc>
          <w:tcPr>
            <w:tcW w:w="761" w:type="dxa"/>
            <w:tcBorders>
              <w:top w:val="single" w:sz="12" w:space="0" w:color="000000"/>
              <w:left w:val="single" w:sz="12" w:space="0" w:color="000000"/>
              <w:bottom w:val="single" w:sz="2" w:space="0" w:color="000000"/>
              <w:right w:val="single" w:sz="2" w:space="0" w:color="000000"/>
            </w:tcBorders>
            <w:tcMar>
              <w:bottom w:w="28" w:type="dxa"/>
            </w:tcMar>
            <w:vAlign w:val="bottom"/>
          </w:tcPr>
          <w:p>
            <w:pPr>
              <w:pStyle w:val="Sadrajitablice"/>
              <w:rPr>
                <w:b/>
                <w:color w:val="000000"/>
                <w:sz w:val="14"/>
              </w:rPr>
            </w:pPr>
            <w:r>
              <w:rPr>
                <w:b/>
                <w:color w:val="000000"/>
                <w:sz w:val="14"/>
              </w:rPr>
            </w:r>
          </w:p>
        </w:tc>
        <w:tc>
          <w:tcPr>
            <w:tcW w:w="5788" w:type="dxa"/>
            <w:gridSpan w:val="2"/>
            <w:tcBorders>
              <w:top w:val="single" w:sz="12" w:space="0" w:color="000000"/>
              <w:left w:val="single" w:sz="2" w:space="0" w:color="000000"/>
              <w:bottom w:val="single" w:sz="2" w:space="0" w:color="000000"/>
              <w:right w:val="single" w:sz="2" w:space="0" w:color="000000"/>
            </w:tcBorders>
            <w:tcMar>
              <w:bottom w:w="28" w:type="dxa"/>
            </w:tcMar>
            <w:vAlign w:val="bottom"/>
          </w:tcPr>
          <w:p>
            <w:pPr>
              <w:pStyle w:val="Sadrajitablice"/>
              <w:jc w:val="left"/>
              <w:rPr>
                <w:b/>
                <w:sz w:val="14"/>
              </w:rPr>
            </w:pPr>
            <w:r>
              <w:rPr>
                <w:b/>
                <w:sz w:val="14"/>
              </w:rPr>
              <w:t>PRIJENOS VIŠKA/MANJKA IZ PRETHODNE GODINE</w:t>
            </w:r>
          </w:p>
        </w:tc>
        <w:tc>
          <w:tcPr>
            <w:tcW w:w="1466" w:type="dxa"/>
            <w:tcBorders>
              <w:top w:val="single" w:sz="12" w:space="0" w:color="000000"/>
              <w:left w:val="single" w:sz="2" w:space="0" w:color="000000"/>
              <w:bottom w:val="single" w:sz="2" w:space="0" w:color="000000"/>
              <w:right w:val="single" w:sz="2" w:space="0" w:color="000000"/>
            </w:tcBorders>
            <w:tcMar>
              <w:bottom w:w="28" w:type="dxa"/>
            </w:tcMar>
            <w:vAlign w:val="bottom"/>
          </w:tcPr>
          <w:p>
            <w:pPr>
              <w:pStyle w:val="Sadrajitablice"/>
              <w:rPr/>
            </w:pPr>
            <w:r>
              <w:rPr/>
            </w:r>
          </w:p>
        </w:tc>
        <w:tc>
          <w:tcPr>
            <w:tcW w:w="1481" w:type="dxa"/>
            <w:tcBorders>
              <w:top w:val="single" w:sz="12" w:space="0" w:color="000000"/>
              <w:left w:val="single" w:sz="2" w:space="0" w:color="000000"/>
              <w:bottom w:val="single" w:sz="2" w:space="0" w:color="000000"/>
              <w:right w:val="single" w:sz="2" w:space="0" w:color="000000"/>
            </w:tcBorders>
            <w:tcMar>
              <w:bottom w:w="28" w:type="dxa"/>
            </w:tcMar>
            <w:vAlign w:val="bottom"/>
          </w:tcPr>
          <w:p>
            <w:pPr>
              <w:pStyle w:val="Sadrajitablice"/>
              <w:rPr/>
            </w:pPr>
            <w:r>
              <w:rPr/>
            </w:r>
          </w:p>
        </w:tc>
        <w:tc>
          <w:tcPr>
            <w:tcW w:w="1706" w:type="dxa"/>
            <w:tcBorders>
              <w:top w:val="single" w:sz="12" w:space="0" w:color="000000"/>
              <w:left w:val="single" w:sz="2" w:space="0" w:color="000000"/>
              <w:bottom w:val="single" w:sz="2" w:space="0" w:color="000000"/>
              <w:right w:val="single" w:sz="2" w:space="0" w:color="000000"/>
            </w:tcBorders>
            <w:tcMar>
              <w:bottom w:w="28" w:type="dxa"/>
            </w:tcMar>
            <w:vAlign w:val="bottom"/>
          </w:tcPr>
          <w:p>
            <w:pPr>
              <w:pStyle w:val="Sadrajitablice"/>
              <w:jc w:val="right"/>
              <w:rPr/>
            </w:pPr>
            <w:r>
              <w:rPr/>
              <w:t>371.828,81</w:t>
            </w:r>
          </w:p>
        </w:tc>
        <w:tc>
          <w:tcPr>
            <w:tcW w:w="1076" w:type="dxa"/>
            <w:tcBorders>
              <w:top w:val="single" w:sz="12" w:space="0" w:color="000000"/>
              <w:left w:val="single" w:sz="2" w:space="0" w:color="000000"/>
              <w:bottom w:val="single" w:sz="2" w:space="0" w:color="000000"/>
              <w:right w:val="single" w:sz="12" w:space="0" w:color="000000"/>
            </w:tcBorders>
            <w:tcMar>
              <w:bottom w:w="28" w:type="dxa"/>
            </w:tcMar>
            <w:vAlign w:val="bottom"/>
          </w:tcPr>
          <w:p>
            <w:pPr>
              <w:pStyle w:val="Sadrajitablice"/>
              <w:rPr/>
            </w:pPr>
            <w:r>
              <w:rPr/>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tcMar>
              <w:bottom w:w="28" w:type="dxa"/>
            </w:tcMar>
            <w:vAlign w:val="bottom"/>
          </w:tcPr>
          <w:p>
            <w:pPr>
              <w:pStyle w:val="Sadrajitablice"/>
              <w:rPr>
                <w:b/>
                <w:color w:val="000000"/>
                <w:sz w:val="14"/>
              </w:rPr>
            </w:pPr>
            <w:r>
              <w:rPr>
                <w:b/>
                <w:color w:val="000000"/>
                <w:sz w:val="14"/>
              </w:rPr>
            </w:r>
          </w:p>
        </w:tc>
        <w:tc>
          <w:tcPr>
            <w:tcW w:w="5788" w:type="dxa"/>
            <w:gridSpan w:val="2"/>
            <w:tcBorders>
              <w:top w:val="single" w:sz="2" w:space="0" w:color="000000"/>
              <w:left w:val="single" w:sz="2" w:space="0" w:color="000000"/>
              <w:bottom w:val="single" w:sz="2" w:space="0" w:color="000000"/>
              <w:right w:val="single" w:sz="2" w:space="0" w:color="000000"/>
            </w:tcBorders>
            <w:tcMar>
              <w:bottom w:w="28" w:type="dxa"/>
            </w:tcMar>
            <w:vAlign w:val="bottom"/>
          </w:tcPr>
          <w:p>
            <w:pPr>
              <w:pStyle w:val="Sadrajitablice"/>
              <w:jc w:val="left"/>
              <w:rPr>
                <w:b/>
                <w:sz w:val="14"/>
              </w:rPr>
            </w:pPr>
            <w:r>
              <w:rPr>
                <w:b/>
                <w:sz w:val="14"/>
              </w:rPr>
              <w:t>VIŠAK/MANJAK IZ PRETHODNE GODINE KOJI ĆE SE RASPOREDITI/POKRITI</w:t>
            </w:r>
          </w:p>
        </w:tc>
        <w:tc>
          <w:tcPr>
            <w:tcW w:w="1466" w:type="dxa"/>
            <w:tcBorders>
              <w:top w:val="single" w:sz="2" w:space="0" w:color="000000"/>
              <w:left w:val="single" w:sz="2" w:space="0" w:color="000000"/>
              <w:bottom w:val="single" w:sz="2" w:space="0" w:color="000000"/>
              <w:right w:val="single" w:sz="2" w:space="0" w:color="000000"/>
            </w:tcBorders>
            <w:tcMar>
              <w:bottom w:w="28" w:type="dxa"/>
            </w:tcMar>
            <w:vAlign w:val="bottom"/>
          </w:tcPr>
          <w:p>
            <w:pPr>
              <w:pStyle w:val="Sadrajitablice"/>
              <w:rPr/>
            </w:pPr>
            <w:r>
              <w:rPr/>
            </w:r>
          </w:p>
        </w:tc>
        <w:tc>
          <w:tcPr>
            <w:tcW w:w="1481" w:type="dxa"/>
            <w:tcBorders>
              <w:top w:val="single" w:sz="2" w:space="0" w:color="000000"/>
              <w:left w:val="single" w:sz="2" w:space="0" w:color="000000"/>
              <w:bottom w:val="single" w:sz="2" w:space="0" w:color="000000"/>
              <w:right w:val="single" w:sz="2" w:space="0" w:color="000000"/>
            </w:tcBorders>
            <w:tcMar>
              <w:bottom w:w="28" w:type="dxa"/>
            </w:tcMar>
            <w:vAlign w:val="bottom"/>
          </w:tcPr>
          <w:p>
            <w:pPr>
              <w:pStyle w:val="Sadrajitablice"/>
              <w:rPr/>
            </w:pPr>
            <w:r>
              <w:rPr/>
            </w:r>
          </w:p>
        </w:tc>
        <w:tc>
          <w:tcPr>
            <w:tcW w:w="1706" w:type="dxa"/>
            <w:tcBorders>
              <w:top w:val="single" w:sz="2" w:space="0" w:color="000000"/>
              <w:left w:val="single" w:sz="2" w:space="0" w:color="000000"/>
              <w:bottom w:val="single" w:sz="2" w:space="0" w:color="000000"/>
              <w:right w:val="single" w:sz="2" w:space="0" w:color="000000"/>
            </w:tcBorders>
            <w:tcMar>
              <w:bottom w:w="28" w:type="dxa"/>
            </w:tcMar>
            <w:vAlign w:val="bottom"/>
          </w:tcPr>
          <w:p>
            <w:pPr>
              <w:pStyle w:val="Sadrajitablice"/>
              <w:jc w:val="right"/>
              <w:rPr/>
            </w:pPr>
            <w:r>
              <w:rPr/>
              <w:t>371.828,81</w:t>
            </w:r>
          </w:p>
        </w:tc>
        <w:tc>
          <w:tcPr>
            <w:tcW w:w="1076" w:type="dxa"/>
            <w:tcBorders>
              <w:top w:val="single" w:sz="2" w:space="0" w:color="000000"/>
              <w:left w:val="single" w:sz="2" w:space="0" w:color="000000"/>
              <w:bottom w:val="single" w:sz="2" w:space="0" w:color="000000"/>
              <w:right w:val="single" w:sz="12" w:space="0" w:color="000000"/>
            </w:tcBorders>
            <w:tcMar>
              <w:bottom w:w="28" w:type="dxa"/>
            </w:tcMar>
            <w:vAlign w:val="bottom"/>
          </w:tcPr>
          <w:p>
            <w:pPr>
              <w:pStyle w:val="Sadrajitablice"/>
              <w:rPr/>
            </w:pPr>
            <w:r>
              <w:rPr/>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tcMar>
              <w:bottom w:w="28" w:type="dxa"/>
            </w:tcMar>
            <w:vAlign w:val="center"/>
          </w:tcPr>
          <w:p>
            <w:pPr>
              <w:pStyle w:val="Sadrajitablice"/>
              <w:rPr>
                <w:rFonts w:ascii="Arial Narrow" w:hAnsi="Arial Narrow"/>
                <w:b/>
                <w:color w:val="000000"/>
                <w:sz w:val="14"/>
              </w:rPr>
            </w:pPr>
            <w:r>
              <w:rPr>
                <w:rFonts w:ascii="Arial Narrow" w:hAnsi="Arial Narrow"/>
                <w:b/>
                <w:color w:val="000000"/>
                <w:sz w:val="14"/>
              </w:rPr>
            </w:r>
          </w:p>
        </w:tc>
        <w:tc>
          <w:tcPr>
            <w:tcW w:w="5788" w:type="dxa"/>
            <w:gridSpan w:val="2"/>
            <w:tcBorders>
              <w:top w:val="single" w:sz="2" w:space="0" w:color="000000"/>
              <w:left w:val="single" w:sz="2" w:space="0" w:color="000000"/>
              <w:bottom w:val="single" w:sz="2" w:space="0" w:color="000000"/>
              <w:right w:val="single" w:sz="2" w:space="0" w:color="000000"/>
            </w:tcBorders>
            <w:tcMar>
              <w:bottom w:w="28" w:type="dxa"/>
            </w:tcMar>
            <w:vAlign w:val="bottom"/>
          </w:tcPr>
          <w:p>
            <w:pPr>
              <w:pStyle w:val="Sadrajitablice"/>
              <w:jc w:val="left"/>
              <w:rPr>
                <w:b/>
                <w:sz w:val="14"/>
              </w:rPr>
            </w:pPr>
            <w:r>
              <w:rPr>
                <w:b/>
                <w:sz w:val="14"/>
              </w:rPr>
              <w:t>VIŠAK /MANJAK TEKUĆE GODINE</w:t>
            </w:r>
          </w:p>
        </w:tc>
        <w:tc>
          <w:tcPr>
            <w:tcW w:w="1466" w:type="dxa"/>
            <w:tcBorders>
              <w:top w:val="single" w:sz="2" w:space="0" w:color="000000"/>
              <w:left w:val="single" w:sz="2" w:space="0" w:color="000000"/>
              <w:bottom w:val="single" w:sz="2" w:space="0" w:color="000000"/>
              <w:right w:val="single" w:sz="2" w:space="0" w:color="000000"/>
            </w:tcBorders>
            <w:tcMar>
              <w:bottom w:w="28" w:type="dxa"/>
            </w:tcMar>
            <w:vAlign w:val="bottom"/>
          </w:tcPr>
          <w:p>
            <w:pPr>
              <w:pStyle w:val="Sadrajitablice"/>
              <w:rPr/>
            </w:pPr>
            <w:r>
              <w:rPr/>
            </w:r>
          </w:p>
        </w:tc>
        <w:tc>
          <w:tcPr>
            <w:tcW w:w="1481" w:type="dxa"/>
            <w:tcBorders>
              <w:top w:val="single" w:sz="2" w:space="0" w:color="000000"/>
              <w:left w:val="single" w:sz="2" w:space="0" w:color="000000"/>
              <w:bottom w:val="single" w:sz="2" w:space="0" w:color="000000"/>
              <w:right w:val="single" w:sz="2" w:space="0" w:color="000000"/>
            </w:tcBorders>
            <w:tcMar>
              <w:bottom w:w="28" w:type="dxa"/>
            </w:tcMar>
            <w:vAlign w:val="bottom"/>
          </w:tcPr>
          <w:p>
            <w:pPr>
              <w:pStyle w:val="Sadrajitablice"/>
              <w:rPr/>
            </w:pPr>
            <w:r>
              <w:rPr/>
            </w:r>
          </w:p>
        </w:tc>
        <w:tc>
          <w:tcPr>
            <w:tcW w:w="1706" w:type="dxa"/>
            <w:tcBorders>
              <w:top w:val="single" w:sz="2" w:space="0" w:color="000000"/>
              <w:left w:val="single" w:sz="2" w:space="0" w:color="000000"/>
              <w:bottom w:val="single" w:sz="2" w:space="0" w:color="000000"/>
              <w:right w:val="single" w:sz="2" w:space="0" w:color="000000"/>
            </w:tcBorders>
            <w:tcMar>
              <w:bottom w:w="28" w:type="dxa"/>
            </w:tcMar>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tcMar>
              <w:bottom w:w="28" w:type="dxa"/>
            </w:tcMar>
            <w:vAlign w:val="bottom"/>
          </w:tcPr>
          <w:p>
            <w:pPr>
              <w:pStyle w:val="Sadrajitablice"/>
              <w:rPr/>
            </w:pPr>
            <w:r>
              <w:rPr/>
            </w:r>
          </w:p>
        </w:tc>
      </w:tr>
      <w:tr>
        <w:trPr>
          <w:trHeight w:val="326" w:hRule="atLeast"/>
        </w:trPr>
        <w:tc>
          <w:tcPr>
            <w:tcW w:w="761" w:type="dxa"/>
            <w:tcBorders>
              <w:top w:val="single" w:sz="2" w:space="0" w:color="000000"/>
              <w:left w:val="single" w:sz="12" w:space="0" w:color="000000"/>
              <w:bottom w:val="single" w:sz="12" w:space="0" w:color="000000"/>
              <w:right w:val="single" w:sz="2" w:space="0" w:color="000000"/>
            </w:tcBorders>
            <w:tcMar>
              <w:bottom w:w="28" w:type="dxa"/>
            </w:tcMar>
            <w:vAlign w:val="bottom"/>
          </w:tcPr>
          <w:p>
            <w:pPr>
              <w:pStyle w:val="Sadrajitablice"/>
              <w:rPr>
                <w:b/>
              </w:rPr>
            </w:pPr>
            <w:r>
              <w:rPr>
                <w:b/>
              </w:rPr>
            </w:r>
          </w:p>
        </w:tc>
        <w:tc>
          <w:tcPr>
            <w:tcW w:w="932" w:type="dxa"/>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jc w:val="left"/>
              <w:rPr>
                <w:b/>
                <w:sz w:val="14"/>
              </w:rPr>
            </w:pPr>
            <w:r>
              <w:rPr>
                <w:b/>
                <w:sz w:val="14"/>
              </w:rPr>
              <w:t>PRIJENOS VIŠKA /MANJKA U SLJEDEĆE RAZDOBLJE</w:t>
            </w:r>
          </w:p>
        </w:tc>
        <w:tc>
          <w:tcPr>
            <w:tcW w:w="4856" w:type="dxa"/>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rPr>
                <w:b/>
                <w:sz w:val="14"/>
              </w:rPr>
            </w:pPr>
            <w:r>
              <w:rPr>
                <w:b/>
                <w:sz w:val="14"/>
              </w:rPr>
            </w:r>
          </w:p>
        </w:tc>
        <w:tc>
          <w:tcPr>
            <w:tcW w:w="1466" w:type="dxa"/>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rPr/>
            </w:pPr>
            <w:r>
              <w:rPr/>
            </w:r>
          </w:p>
        </w:tc>
        <w:tc>
          <w:tcPr>
            <w:tcW w:w="1481" w:type="dxa"/>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rPr/>
            </w:pPr>
            <w:r>
              <w:rPr/>
            </w:r>
          </w:p>
        </w:tc>
        <w:tc>
          <w:tcPr>
            <w:tcW w:w="1706" w:type="dxa"/>
            <w:tcBorders>
              <w:top w:val="single" w:sz="2" w:space="0" w:color="000000"/>
              <w:left w:val="single" w:sz="2" w:space="0" w:color="000000"/>
              <w:bottom w:val="single" w:sz="12" w:space="0" w:color="000000"/>
              <w:right w:val="single" w:sz="2" w:space="0" w:color="000000"/>
            </w:tcBorders>
            <w:tcMar>
              <w:bottom w:w="28" w:type="dxa"/>
            </w:tcMar>
            <w:vAlign w:val="bottom"/>
          </w:tcPr>
          <w:p>
            <w:pPr>
              <w:pStyle w:val="Sadrajitablice"/>
              <w:rPr/>
            </w:pPr>
            <w:r>
              <w:rPr/>
            </w:r>
          </w:p>
        </w:tc>
        <w:tc>
          <w:tcPr>
            <w:tcW w:w="1076" w:type="dxa"/>
            <w:tcBorders>
              <w:top w:val="single" w:sz="2" w:space="0" w:color="000000"/>
              <w:left w:val="single" w:sz="2" w:space="0" w:color="000000"/>
              <w:bottom w:val="single" w:sz="12" w:space="0" w:color="000000"/>
              <w:right w:val="single" w:sz="12" w:space="0" w:color="000000"/>
            </w:tcBorders>
            <w:tcMar>
              <w:bottom w:w="28" w:type="dxa"/>
            </w:tcMar>
            <w:vAlign w:val="bottom"/>
          </w:tcPr>
          <w:p>
            <w:pPr>
              <w:pStyle w:val="Sadrajitablice"/>
              <w:rPr/>
            </w:pPr>
            <w:r>
              <w:rPr/>
            </w:r>
          </w:p>
        </w:tc>
      </w:tr>
    </w:tbl>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b/>
          <w:b/>
          <w:bCs/>
        </w:rPr>
      </w:pPr>
      <w:r>
        <w:rPr>
          <w:rFonts w:ascii="Times New Roman" w:hAnsi="Times New Roman"/>
          <w:b/>
          <w:bCs/>
        </w:rPr>
        <w:t>1.2. RAČUN PRIHODA I RASHODA</w:t>
      </w:r>
    </w:p>
    <w:p>
      <w:pPr>
        <w:pStyle w:val="Normal"/>
        <w:bidi w:val="0"/>
        <w:jc w:val="center"/>
        <w:rPr>
          <w:rFonts w:ascii="Times New Roman" w:hAnsi="Times New Roman"/>
          <w:b/>
          <w:b/>
          <w:bCs/>
        </w:rPr>
      </w:pPr>
      <w:r>
        <w:rPr>
          <w:rFonts w:ascii="Times New Roman" w:hAnsi="Times New Roman"/>
          <w:b/>
          <w:bCs/>
        </w:rPr>
        <w:t xml:space="preserve">IZVRŠENJE PRORAČUNA  PREMA EKONOMSKOJ KLASIFIKACIJI </w:t>
      </w:r>
    </w:p>
    <w:tbl>
      <w:tblPr>
        <w:tblW w:w="11091" w:type="dxa"/>
        <w:jc w:val="left"/>
        <w:tblInd w:w="28" w:type="dxa"/>
        <w:tblLayout w:type="fixed"/>
        <w:tblCellMar>
          <w:top w:w="28" w:type="dxa"/>
          <w:left w:w="28" w:type="dxa"/>
          <w:bottom w:w="28" w:type="dxa"/>
          <w:right w:w="28" w:type="dxa"/>
        </w:tblCellMar>
      </w:tblPr>
      <w:tblGrid>
        <w:gridCol w:w="656"/>
        <w:gridCol w:w="3581"/>
        <w:gridCol w:w="1901"/>
        <w:gridCol w:w="1901"/>
        <w:gridCol w:w="1721"/>
        <w:gridCol w:w="1331"/>
      </w:tblGrid>
      <w:tr>
        <w:trPr>
          <w:trHeight w:val="701" w:hRule="atLeast"/>
        </w:trPr>
        <w:tc>
          <w:tcPr>
            <w:tcW w:w="4237" w:type="dxa"/>
            <w:gridSpan w:val="2"/>
            <w:tcBorders>
              <w:top w:val="single" w:sz="12" w:space="0" w:color="000000"/>
              <w:left w:val="single" w:sz="12" w:space="0" w:color="000000"/>
              <w:bottom w:val="single" w:sz="12" w:space="0" w:color="000000"/>
              <w:right w:val="single" w:sz="2" w:space="0" w:color="000000"/>
            </w:tcBorders>
            <w:shd w:fill="DCDCDC" w:val="clear"/>
            <w:vAlign w:val="center"/>
          </w:tcPr>
          <w:p>
            <w:pPr>
              <w:pStyle w:val="Sadrajitablice"/>
              <w:jc w:val="center"/>
              <w:rPr>
                <w:b/>
                <w:color w:val="000000"/>
                <w:sz w:val="14"/>
              </w:rPr>
            </w:pPr>
            <w:r>
              <w:rPr>
                <w:b/>
                <w:color w:val="000000"/>
                <w:sz w:val="14"/>
              </w:rPr>
              <w:t>Brojčana oznaka i naziv</w:t>
            </w:r>
          </w:p>
        </w:tc>
        <w:tc>
          <w:tcPr>
            <w:tcW w:w="1901" w:type="dxa"/>
            <w:tcBorders>
              <w:top w:val="single" w:sz="12" w:space="0" w:color="000000"/>
              <w:left w:val="single" w:sz="2" w:space="0" w:color="000000"/>
              <w:bottom w:val="single" w:sz="12" w:space="0" w:color="000000"/>
              <w:right w:val="single" w:sz="2" w:space="0" w:color="000000"/>
            </w:tcBorders>
            <w:shd w:fill="DCDCDC" w:val="clear"/>
            <w:vAlign w:val="center"/>
          </w:tcPr>
          <w:p>
            <w:pPr>
              <w:pStyle w:val="Sadrajitablice"/>
              <w:jc w:val="center"/>
              <w:rPr>
                <w:b/>
                <w:color w:val="000000"/>
                <w:sz w:val="14"/>
              </w:rPr>
            </w:pPr>
            <w:r>
              <w:rPr>
                <w:b/>
                <w:color w:val="000000"/>
                <w:sz w:val="14"/>
              </w:rPr>
              <w:t>Plan 2024.</w:t>
            </w:r>
          </w:p>
        </w:tc>
        <w:tc>
          <w:tcPr>
            <w:tcW w:w="1901" w:type="dxa"/>
            <w:tcBorders>
              <w:top w:val="single" w:sz="12" w:space="0" w:color="000000"/>
              <w:left w:val="single" w:sz="2" w:space="0" w:color="000000"/>
              <w:bottom w:val="single" w:sz="12" w:space="0" w:color="000000"/>
              <w:right w:val="single" w:sz="2" w:space="0" w:color="000000"/>
            </w:tcBorders>
            <w:shd w:fill="DCDCDC" w:val="clear"/>
            <w:vAlign w:val="center"/>
          </w:tcPr>
          <w:p>
            <w:pPr>
              <w:pStyle w:val="Sadrajitablice"/>
              <w:jc w:val="center"/>
              <w:rPr>
                <w:b/>
                <w:color w:val="000000"/>
                <w:sz w:val="14"/>
              </w:rPr>
            </w:pPr>
            <w:r>
              <w:rPr>
                <w:b/>
                <w:color w:val="000000"/>
                <w:sz w:val="14"/>
              </w:rPr>
              <w:t>Plan 2025.</w:t>
            </w:r>
          </w:p>
        </w:tc>
        <w:tc>
          <w:tcPr>
            <w:tcW w:w="1721" w:type="dxa"/>
            <w:tcBorders>
              <w:top w:val="single" w:sz="12" w:space="0" w:color="000000"/>
              <w:left w:val="single" w:sz="2" w:space="0" w:color="000000"/>
              <w:bottom w:val="single" w:sz="12" w:space="0" w:color="000000"/>
              <w:right w:val="single" w:sz="2" w:space="0" w:color="000000"/>
            </w:tcBorders>
            <w:shd w:fill="D9D9D9" w:val="clear"/>
            <w:vAlign w:val="bottom"/>
          </w:tcPr>
          <w:p>
            <w:pPr>
              <w:pStyle w:val="Sadrajitablice"/>
              <w:jc w:val="center"/>
              <w:rPr>
                <w:rFonts w:ascii="Calibri" w:hAnsi="Calibri"/>
                <w:b/>
                <w:color w:val="000000"/>
                <w:sz w:val="14"/>
              </w:rPr>
            </w:pPr>
            <w:r>
              <w:rPr>
                <w:rFonts w:ascii="Calibri" w:hAnsi="Calibri"/>
                <w:b/>
                <w:color w:val="000000"/>
                <w:sz w:val="14"/>
              </w:rPr>
              <w:t>NOVI PLAN</w:t>
            </w:r>
          </w:p>
        </w:tc>
        <w:tc>
          <w:tcPr>
            <w:tcW w:w="1331" w:type="dxa"/>
            <w:tcBorders>
              <w:top w:val="single" w:sz="12" w:space="0" w:color="000000"/>
              <w:left w:val="single" w:sz="2" w:space="0" w:color="000000"/>
              <w:bottom w:val="single" w:sz="12" w:space="0" w:color="000000"/>
              <w:right w:val="single" w:sz="12" w:space="0" w:color="000000"/>
            </w:tcBorders>
            <w:shd w:fill="000000" w:val="clear"/>
            <w:vAlign w:val="bottom"/>
          </w:tcPr>
          <w:p>
            <w:pPr>
              <w:pStyle w:val="Sadrajitablice"/>
              <w:jc w:val="center"/>
              <w:rPr>
                <w:rFonts w:ascii="Calibri" w:hAnsi="Calibri"/>
                <w:b/>
                <w:color w:val="D9D9D9"/>
                <w:sz w:val="14"/>
              </w:rPr>
            </w:pPr>
            <w:r>
              <w:rPr>
                <w:rFonts w:ascii="Calibri" w:hAnsi="Calibri"/>
                <w:b/>
                <w:color w:val="D9D9D9"/>
                <w:sz w:val="14"/>
              </w:rPr>
              <w:t>IZVRŠENJE</w:t>
            </w:r>
          </w:p>
        </w:tc>
      </w:tr>
      <w:tr>
        <w:trPr>
          <w:trHeight w:val="251" w:hRule="atLeast"/>
        </w:trPr>
        <w:tc>
          <w:tcPr>
            <w:tcW w:w="4237" w:type="dxa"/>
            <w:gridSpan w:val="2"/>
            <w:tcBorders>
              <w:left w:val="single" w:sz="12" w:space="0" w:color="000000"/>
              <w:bottom w:val="single" w:sz="2" w:space="0" w:color="000000"/>
              <w:right w:val="single" w:sz="2" w:space="0" w:color="000000"/>
            </w:tcBorders>
            <w:tcMar>
              <w:top w:w="0" w:type="dxa"/>
            </w:tcMar>
            <w:vAlign w:val="center"/>
          </w:tcPr>
          <w:p>
            <w:pPr>
              <w:pStyle w:val="Sadrajitablice"/>
              <w:jc w:val="center"/>
              <w:rPr>
                <w:b/>
                <w:color w:val="000000"/>
                <w:sz w:val="14"/>
              </w:rPr>
            </w:pPr>
            <w:r>
              <w:rPr>
                <w:b/>
                <w:color w:val="000000"/>
                <w:sz w:val="14"/>
              </w:rPr>
              <w:t>1</w:t>
            </w:r>
          </w:p>
        </w:tc>
        <w:tc>
          <w:tcPr>
            <w:tcW w:w="1901" w:type="dxa"/>
            <w:tcBorders>
              <w:left w:val="single" w:sz="2" w:space="0" w:color="000000"/>
              <w:bottom w:val="single" w:sz="2" w:space="0" w:color="000000"/>
              <w:right w:val="single" w:sz="2" w:space="0" w:color="000000"/>
            </w:tcBorders>
            <w:tcMar>
              <w:top w:w="0" w:type="dxa"/>
            </w:tcMar>
            <w:vAlign w:val="center"/>
          </w:tcPr>
          <w:p>
            <w:pPr>
              <w:pStyle w:val="Sadrajitablice"/>
              <w:jc w:val="center"/>
              <w:rPr>
                <w:b/>
                <w:color w:val="000000"/>
                <w:sz w:val="14"/>
              </w:rPr>
            </w:pPr>
            <w:r>
              <w:rPr>
                <w:b/>
                <w:color w:val="000000"/>
                <w:sz w:val="14"/>
              </w:rPr>
              <w:t>3</w:t>
            </w:r>
          </w:p>
        </w:tc>
        <w:tc>
          <w:tcPr>
            <w:tcW w:w="1901" w:type="dxa"/>
            <w:tcBorders>
              <w:left w:val="single" w:sz="2" w:space="0" w:color="000000"/>
              <w:bottom w:val="single" w:sz="2" w:space="0" w:color="000000"/>
              <w:right w:val="single" w:sz="2" w:space="0" w:color="000000"/>
            </w:tcBorders>
            <w:tcMar>
              <w:top w:w="0" w:type="dxa"/>
            </w:tcMar>
            <w:vAlign w:val="center"/>
          </w:tcPr>
          <w:p>
            <w:pPr>
              <w:pStyle w:val="Sadrajitablice"/>
              <w:jc w:val="center"/>
              <w:rPr>
                <w:b/>
                <w:color w:val="000000"/>
                <w:sz w:val="14"/>
              </w:rPr>
            </w:pPr>
            <w:r>
              <w:rPr>
                <w:b/>
                <w:color w:val="000000"/>
                <w:sz w:val="14"/>
              </w:rPr>
              <w:t>4</w:t>
            </w:r>
          </w:p>
        </w:tc>
        <w:tc>
          <w:tcPr>
            <w:tcW w:w="1721" w:type="dxa"/>
            <w:tcBorders>
              <w:left w:val="single" w:sz="2" w:space="0" w:color="000000"/>
              <w:bottom w:val="single" w:sz="2" w:space="0" w:color="000000"/>
              <w:right w:val="single" w:sz="2" w:space="0" w:color="000000"/>
            </w:tcBorders>
            <w:tcMar>
              <w:top w:w="0" w:type="dxa"/>
            </w:tcMar>
            <w:vAlign w:val="bottom"/>
          </w:tcPr>
          <w:p>
            <w:pPr>
              <w:pStyle w:val="Sadrajitablice"/>
              <w:rPr>
                <w:rFonts w:ascii="Calibri" w:hAnsi="Calibri"/>
                <w:color w:val="000000"/>
              </w:rPr>
            </w:pPr>
            <w:r>
              <w:rPr>
                <w:rFonts w:ascii="Calibri" w:hAnsi="Calibri"/>
                <w:color w:val="000000"/>
              </w:rPr>
            </w:r>
          </w:p>
        </w:tc>
        <w:tc>
          <w:tcPr>
            <w:tcW w:w="1331" w:type="dxa"/>
            <w:tcBorders>
              <w:left w:val="single" w:sz="2" w:space="0" w:color="000000"/>
              <w:bottom w:val="single" w:sz="2" w:space="0" w:color="000000"/>
              <w:right w:val="single" w:sz="12" w:space="0" w:color="000000"/>
            </w:tcBorders>
            <w:tcMar>
              <w:top w:w="0" w:type="dxa"/>
            </w:tcMar>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rPr>
                <w:b/>
                <w:color w:val="000000"/>
                <w:sz w:val="14"/>
              </w:rPr>
            </w:pPr>
            <w:r>
              <w:rPr>
                <w:b/>
                <w:color w:val="000000"/>
                <w:sz w:val="14"/>
              </w:rPr>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UKUPNO PRIHODI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598.521,55</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2.246.089,00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2.276.089,00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630.052,83</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6</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Prihodi poslovanja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598.521,55</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2.246.089,00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2.276.089,00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630.052,83</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61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Prihodi od poreza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67.936,79</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218.000,00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218.000,00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64.091,74</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i prirez na dohodak</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55.773,77</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6111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 xml:space="preserve">Porez i prirez na dohodak od nesamostalnog rada </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55.773,77</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6112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i prirez na dohodak od samostalnih djelatnosti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6113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i prirez na dohodak od imovine i imovinskih prava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6114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i prirez na dohodak od kapitala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6115</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i prirez na dohodak po godišnjoj prijavi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6116</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i prirez na dohodak utvrđen u postupku nadzora za prethodne godine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Porezi na imovinu</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7.674,91</w:t>
            </w:r>
          </w:p>
        </w:tc>
      </w:tr>
      <w:tr>
        <w:trPr>
          <w:trHeight w:val="581"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6134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na promet nekretnina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7.674,91</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Porezi na robu i usluge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643,06</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6142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na potrošnju</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643,06</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6147</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Porez na dobitke od igara na sreću i ostali porezi od igara na sreću</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63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Pomoći iz inozemstva i od subjekata unutar općeg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320.524,24</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1.700.000,00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1.730.000,00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354.495,39</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Pomoći od međunarodnih organizacija te institucija i tijela EU</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6323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Tekuće pomoći od institucija i tijela EU</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Pomoći proračunu iz drugih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15.895,59</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6331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Tekuće pomoći proračunu iz drugih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1.958,80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6332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Kapitalne pomoći proračunu iz drugih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13.936,79</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Pomoći od izvanproračunskih korisnika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40.870,66</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6341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Tekuće pomoći od ostalih korisnika drž. Pr.</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40.870,66</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635</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Pomoći izravnanja za decentralizirane funkcije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137.430,32</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6353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 xml:space="preserve">Tekuće pomoći fiskalnog izravnanja </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137.430,32</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636</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Pomoći proračunskim korisnicima iz proračuna koji im nije nadležan</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6361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Tekuće pomoći proračunskim korisnicima iz proračuna koji im nije nadležan</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6362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Kapitalne pomoći proračunskim korisnicima iz proračuna koji im nije nadležan</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638</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Pomoći temeljem prijenosa EU sredstava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160.298,82</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6381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Tekuće pomoći temeljem prijenosa EU sredstava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160.298,82</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6382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Kapitalne pomoći temeljem prijenosa EU sredstava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639</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Prijenosi između proračunskih korisnika istog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6391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Tekući prijenosi između proračunskih korisnika istog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6392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Kapitalni prijenosi između proračunskih korisnika istog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701"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6393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Tekući prijenosi između proračunskih korisnika istog proračuna temeljem prijenosa EU sredstava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71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6394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Kapitalni prijenosi između proračunskih korisnika istog proračuna temeljem prijenosa EU sredstava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64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Prihodi od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1.452,89</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4.190,00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4.190,00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1.384,02</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Prihodi od financijske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25,62</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6413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Kamate na oročena sredstva i depozite po viđenju</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25,62</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6414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Prihodi od zateznih kamata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6415</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Prihodi od pozitivnih tečajnih razlika i razlika zbog primjene valutne klauzule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6419</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Ostali prihodi od financijske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Prihodi od nefinancijske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1.358,40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6421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Naknade za koncesije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1.250,50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6422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Prihodi od zakupa i iznajmljivanja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107,90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6423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Naknada za korištenje nefinancijske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6429</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Ostali prihodi od nefinancijske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Kamate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6432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Prihodi od kamata na dane zajmove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71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65</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Prihodi od upravnih i administrativnih pristojbi, pristojbi po posebnim propisima i naknada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8.607,63</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23.899,00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23.899,00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10.081,68</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651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Upravne i administrativne pristojbe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1.500,00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6512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Županijske, gradske i općinske pristojbe i naknade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1.080,00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6514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Ostale upravne pristojbe i naknade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420,00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652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Prihodi po posebnim propisima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33,00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6522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Vodni doprinos</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6526</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Prihodi s naslova osiguranja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33,00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653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Komunalne naknade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8.548,68</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6532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Komunalna naknada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8.548,68</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66</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Prihodi od prodaje proizvoda i robe te pruženih usluga i prihodi od donacija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200.000,00</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300.000,00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300.000,00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200.000,00</w:t>
            </w:r>
          </w:p>
        </w:tc>
      </w:tr>
      <w:tr>
        <w:trPr>
          <w:trHeight w:val="701" w:hRule="atLeast"/>
        </w:trPr>
        <w:tc>
          <w:tcPr>
            <w:tcW w:w="4237" w:type="dxa"/>
            <w:gridSpan w:val="2"/>
            <w:tcBorders>
              <w:top w:val="single" w:sz="2" w:space="0" w:color="000000"/>
              <w:left w:val="single" w:sz="12" w:space="0" w:color="000000"/>
              <w:bottom w:val="single" w:sz="2" w:space="0" w:color="000000"/>
              <w:right w:val="single" w:sz="2" w:space="0" w:color="000000"/>
            </w:tcBorders>
            <w:shd w:fill="DCDCDC" w:val="clear"/>
            <w:vAlign w:val="center"/>
          </w:tcPr>
          <w:p>
            <w:pPr>
              <w:pStyle w:val="Sadrajitablice"/>
              <w:jc w:val="center"/>
              <w:rPr>
                <w:b/>
                <w:color w:val="000000"/>
                <w:sz w:val="14"/>
              </w:rPr>
            </w:pPr>
            <w:r>
              <w:rPr>
                <w:b/>
                <w:color w:val="000000"/>
                <w:sz w:val="14"/>
              </w:rPr>
              <w:t>Brojčana oznaka i naziv</w:t>
            </w:r>
          </w:p>
        </w:tc>
        <w:tc>
          <w:tcPr>
            <w:tcW w:w="1901" w:type="dxa"/>
            <w:tcBorders>
              <w:top w:val="single" w:sz="2" w:space="0" w:color="000000"/>
              <w:left w:val="single" w:sz="2" w:space="0" w:color="000000"/>
              <w:bottom w:val="single" w:sz="2" w:space="0" w:color="000000"/>
              <w:right w:val="single" w:sz="2" w:space="0" w:color="000000"/>
            </w:tcBorders>
            <w:shd w:fill="DCDCDC" w:val="clear"/>
            <w:vAlign w:val="center"/>
          </w:tcPr>
          <w:p>
            <w:pPr>
              <w:pStyle w:val="Sadrajitablice"/>
              <w:jc w:val="center"/>
              <w:rPr>
                <w:b/>
                <w:color w:val="000000"/>
                <w:sz w:val="14"/>
              </w:rPr>
            </w:pPr>
            <w:r>
              <w:rPr>
                <w:b/>
                <w:color w:val="000000"/>
                <w:sz w:val="14"/>
              </w:rPr>
              <w:t>Plan 2024.</w:t>
            </w:r>
          </w:p>
        </w:tc>
        <w:tc>
          <w:tcPr>
            <w:tcW w:w="1901" w:type="dxa"/>
            <w:tcBorders>
              <w:top w:val="single" w:sz="2" w:space="0" w:color="000000"/>
              <w:left w:val="single" w:sz="2" w:space="0" w:color="000000"/>
              <w:bottom w:val="single" w:sz="2" w:space="0" w:color="000000"/>
              <w:right w:val="single" w:sz="2" w:space="0" w:color="000000"/>
            </w:tcBorders>
            <w:shd w:fill="DCDCDC" w:val="clear"/>
            <w:vAlign w:val="center"/>
          </w:tcPr>
          <w:p>
            <w:pPr>
              <w:pStyle w:val="Sadrajitablice"/>
              <w:jc w:val="center"/>
              <w:rPr>
                <w:b/>
                <w:color w:val="000000"/>
                <w:sz w:val="14"/>
              </w:rPr>
            </w:pPr>
            <w:r>
              <w:rPr>
                <w:b/>
                <w:color w:val="000000"/>
                <w:sz w:val="14"/>
              </w:rPr>
              <w:t>Plan 2025.</w:t>
            </w:r>
          </w:p>
        </w:tc>
        <w:tc>
          <w:tcPr>
            <w:tcW w:w="1721" w:type="dxa"/>
            <w:tcBorders>
              <w:top w:val="single" w:sz="2" w:space="0" w:color="000000"/>
              <w:left w:val="single" w:sz="2" w:space="0" w:color="000000"/>
              <w:bottom w:val="single" w:sz="2" w:space="0" w:color="000000"/>
              <w:right w:val="single" w:sz="2" w:space="0" w:color="000000"/>
            </w:tcBorders>
            <w:shd w:fill="D9D9D9" w:val="clear"/>
            <w:vAlign w:val="bottom"/>
          </w:tcPr>
          <w:p>
            <w:pPr>
              <w:pStyle w:val="Sadrajitablice"/>
              <w:jc w:val="center"/>
              <w:rPr>
                <w:rFonts w:ascii="Calibri" w:hAnsi="Calibri"/>
                <w:b/>
                <w:color w:val="000000"/>
                <w:sz w:val="14"/>
              </w:rPr>
            </w:pPr>
            <w:r>
              <w:rPr>
                <w:rFonts w:ascii="Calibri" w:hAnsi="Calibri"/>
                <w:b/>
                <w:color w:val="000000"/>
                <w:sz w:val="14"/>
              </w:rPr>
              <w:t>NOVI PLAN</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left"/>
              <w:rPr>
                <w:rFonts w:ascii="Calibri" w:hAnsi="Calibri"/>
                <w:b/>
                <w:color w:val="000000"/>
                <w:sz w:val="14"/>
              </w:rPr>
            </w:pPr>
            <w:r>
              <w:rPr>
                <w:rFonts w:ascii="Calibri" w:hAnsi="Calibri"/>
                <w:b/>
                <w:color w:val="000000"/>
                <w:sz w:val="14"/>
              </w:rPr>
              <w:t>IZVRŠENJE</w:t>
            </w:r>
          </w:p>
        </w:tc>
      </w:tr>
      <w:tr>
        <w:trPr>
          <w:trHeight w:val="251" w:hRule="atLeast"/>
        </w:trPr>
        <w:tc>
          <w:tcPr>
            <w:tcW w:w="4237" w:type="dxa"/>
            <w:gridSpan w:val="2"/>
            <w:tcBorders>
              <w:top w:val="single" w:sz="2" w:space="0" w:color="000000"/>
              <w:left w:val="single" w:sz="12" w:space="0" w:color="000000"/>
              <w:bottom w:val="single" w:sz="2" w:space="0" w:color="000000"/>
              <w:right w:val="single" w:sz="2" w:space="0" w:color="000000"/>
            </w:tcBorders>
            <w:vAlign w:val="center"/>
          </w:tcPr>
          <w:p>
            <w:pPr>
              <w:pStyle w:val="Sadrajitablice"/>
              <w:jc w:val="center"/>
              <w:rPr>
                <w:b/>
                <w:color w:val="000000"/>
                <w:sz w:val="14"/>
              </w:rPr>
            </w:pPr>
            <w:r>
              <w:rPr>
                <w:b/>
                <w:color w:val="000000"/>
                <w:sz w:val="14"/>
              </w:rPr>
              <w:t>1</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center"/>
              <w:rPr>
                <w:b/>
                <w:color w:val="000000"/>
                <w:sz w:val="14"/>
              </w:rPr>
            </w:pPr>
            <w:r>
              <w:rPr>
                <w:b/>
                <w:color w:val="000000"/>
                <w:sz w:val="14"/>
              </w:rPr>
              <w:t>3</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b/>
                <w:color w:val="000000"/>
                <w:sz w:val="14"/>
              </w:rPr>
            </w:pPr>
            <w:r>
              <w:rPr>
                <w:b/>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b/>
                <w:color w:val="000000"/>
                <w:sz w:val="14"/>
              </w:rPr>
            </w:pPr>
            <w:r>
              <w:rPr>
                <w:rFonts w:ascii="Calibri" w:hAnsi="Calibri"/>
                <w:b/>
                <w:color w:val="000000"/>
                <w:sz w:val="14"/>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rPr>
                <w:b/>
                <w:color w:val="000000"/>
                <w:sz w:val="14"/>
              </w:rPr>
            </w:pPr>
            <w:r>
              <w:rPr>
                <w:b/>
                <w:color w:val="000000"/>
                <w:sz w:val="14"/>
              </w:rPr>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UKUPNO RASHODI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351.281,33</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2.246.089,00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2.647.917,81</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610.497,34</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Rashodi poslovanja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324.034,33</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1.028.089,00</w:t>
            </w:r>
          </w:p>
        </w:tc>
        <w:tc>
          <w:tcPr>
            <w:tcW w:w="172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1.028.089,00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456.297,99</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31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Rashodi za zaposlene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116.783,38</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376.800,00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376.800,00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218.631,55</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311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Plaće (Bruto)</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181.750,24</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312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Ostali rashodi za zaposlene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6.914,69</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313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Doprinosi na plaće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29.966,62</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32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Materijalni rashodi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88.071,67</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373.314,00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373.314,00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125.120,96</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321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Naknade troškova zaposlenima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2.359,30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322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Rashodi za materijal i energiju</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12.544,81</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323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Rashodi za usluge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84.658,91</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324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Naknade troškova osobama izvan radnog odnosa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329</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Ostali nespomenuti rashodi poslovanja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25.557,94</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34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Financijski rashodi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2.208,62</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4.930,00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4.930,00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2.852,80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342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Kamate za primljene kredite i zajmove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343</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Ostali financijski rashodi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2.852,80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35</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Subvencije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b/>
                <w:color w:val="000000"/>
                <w:sz w:val="14"/>
              </w:rPr>
            </w:pPr>
            <w:r>
              <w:rPr>
                <w:b/>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b/>
                <w:color w:val="000000"/>
                <w:sz w:val="14"/>
              </w:rPr>
            </w:pPr>
            <w:r>
              <w:rPr>
                <w:b/>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r>
      <w:tr>
        <w:trPr>
          <w:trHeight w:val="581"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36</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Pomoći dane u inozemstvo i unutar općeg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15.904,61</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10.000,00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10.000,00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15.695,97</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366</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Pomoći proračunskim korisnicima drugih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15.695,97</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37</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Naknade građanima i kućanstvima na temelju osiguranja i druge naknade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30.190,01</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78.150,00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78.150,00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30.283,10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372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Ostale naknade građanima i kućanstvima iz proračuna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30.283,10</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38</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Ostali rashodi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70.876,04</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184.895,00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184.895,00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63.713,61</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381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Tekuće donacije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63.713,61</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4</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Rashodi za nabavu nefinancijske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27.247,00</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1.218.000,00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1.619.828,81</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154.199,35</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41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Rashodi za nabavu neproizvedene dugotrajne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b/>
                <w:color w:val="000000"/>
                <w:sz w:val="14"/>
              </w:rPr>
            </w:pPr>
            <w:r>
              <w:rPr>
                <w:b/>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b/>
                <w:color w:val="000000"/>
                <w:sz w:val="14"/>
              </w:rPr>
            </w:pPr>
            <w:r>
              <w:rPr>
                <w:b/>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42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Rashodi za nabavu proizvedene dugotrajne imovine</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1.800,00</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859.000,00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981.000,00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39.411,98</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422</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Postrojenja i oprema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375,87</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427</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Ostala materijalna imovina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0,00</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39.036,11</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45</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b/>
                <w:color w:val="000000"/>
                <w:sz w:val="14"/>
              </w:rPr>
            </w:pPr>
            <w:r>
              <w:rPr>
                <w:b/>
                <w:color w:val="000000"/>
                <w:sz w:val="14"/>
              </w:rPr>
              <w:t>Rashodi za dodatna ulaganja na nefinancijskoj imovini</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25.447,00</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jc w:val="right"/>
              <w:rPr>
                <w:b/>
                <w:color w:val="000000"/>
                <w:sz w:val="14"/>
              </w:rPr>
            </w:pPr>
            <w:r>
              <w:rPr>
                <w:b/>
                <w:color w:val="000000"/>
                <w:sz w:val="14"/>
              </w:rPr>
              <w:t>359.000,00</w:t>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color w:val="000000"/>
                <w:sz w:val="14"/>
              </w:rPr>
            </w:pPr>
            <w:r>
              <w:rPr>
                <w:rFonts w:ascii="Calibri" w:hAnsi="Calibri"/>
                <w:b/>
                <w:color w:val="000000"/>
                <w:sz w:val="14"/>
              </w:rPr>
              <w:t>638.828,81</w:t>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114.787,37</w:t>
            </w:r>
          </w:p>
        </w:tc>
      </w:tr>
      <w:tr>
        <w:trPr>
          <w:trHeight w:val="566" w:hRule="atLeast"/>
        </w:trPr>
        <w:tc>
          <w:tcPr>
            <w:tcW w:w="656" w:type="dxa"/>
            <w:tcBorders>
              <w:top w:val="single" w:sz="2" w:space="0" w:color="000000"/>
              <w:left w:val="single" w:sz="1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451</w:t>
            </w:r>
          </w:p>
        </w:tc>
        <w:tc>
          <w:tcPr>
            <w:tcW w:w="3581" w:type="dxa"/>
            <w:tcBorders>
              <w:top w:val="single" w:sz="2" w:space="0" w:color="000000"/>
              <w:left w:val="single" w:sz="2" w:space="0" w:color="000000"/>
              <w:bottom w:val="single" w:sz="2" w:space="0" w:color="000000"/>
              <w:right w:val="single" w:sz="2" w:space="0" w:color="000000"/>
            </w:tcBorders>
            <w:vAlign w:val="center"/>
          </w:tcPr>
          <w:p>
            <w:pPr>
              <w:pStyle w:val="Sadrajitablice"/>
              <w:jc w:val="left"/>
              <w:rPr>
                <w:color w:val="000000"/>
                <w:sz w:val="14"/>
              </w:rPr>
            </w:pPr>
            <w:r>
              <w:rPr>
                <w:color w:val="000000"/>
                <w:sz w:val="14"/>
              </w:rPr>
              <w:t>Dodatna ulaganja na građevinskim objektima</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Sadrajitablice"/>
              <w:rPr>
                <w:color w:val="000000"/>
                <w:sz w:val="14"/>
              </w:rPr>
            </w:pPr>
            <w:r>
              <w:rPr>
                <w:color w:val="000000"/>
                <w:sz w:val="14"/>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rPr>
                <w:rFonts w:ascii="Calibri" w:hAnsi="Calibri"/>
                <w:color w:val="000000"/>
              </w:rPr>
            </w:pPr>
            <w:r>
              <w:rPr>
                <w:rFonts w:ascii="Calibri" w:hAnsi="Calibri"/>
                <w:color w:val="000000"/>
              </w:rPr>
            </w:r>
          </w:p>
        </w:tc>
        <w:tc>
          <w:tcPr>
            <w:tcW w:w="133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rFonts w:ascii="Calibri" w:hAnsi="Calibri"/>
                <w:b/>
                <w:color w:val="000000"/>
                <w:sz w:val="14"/>
              </w:rPr>
            </w:pPr>
            <w:r>
              <w:rPr>
                <w:rFonts w:ascii="Calibri" w:hAnsi="Calibri"/>
                <w:b/>
                <w:color w:val="000000"/>
                <w:sz w:val="14"/>
              </w:rPr>
              <w:t>114.787,37</w:t>
            </w:r>
          </w:p>
        </w:tc>
      </w:tr>
      <w:tr>
        <w:trPr>
          <w:trHeight w:val="371" w:hRule="atLeast"/>
        </w:trPr>
        <w:tc>
          <w:tcPr>
            <w:tcW w:w="656" w:type="dxa"/>
            <w:tcBorders>
              <w:top w:val="single" w:sz="2" w:space="0" w:color="000000"/>
              <w:left w:val="single" w:sz="12" w:space="0" w:color="000000"/>
              <w:bottom w:val="single" w:sz="12" w:space="0" w:color="000000"/>
              <w:right w:val="single" w:sz="2" w:space="0" w:color="000000"/>
            </w:tcBorders>
            <w:vAlign w:val="bottom"/>
          </w:tcPr>
          <w:p>
            <w:pPr>
              <w:pStyle w:val="Sadrajitablice"/>
              <w:rPr>
                <w:rFonts w:ascii="Calibri" w:hAnsi="Calibri"/>
                <w:color w:val="000000"/>
              </w:rPr>
            </w:pPr>
            <w:r>
              <w:rPr>
                <w:rFonts w:ascii="Calibri" w:hAnsi="Calibri"/>
                <w:color w:val="000000"/>
              </w:rPr>
            </w:r>
          </w:p>
        </w:tc>
        <w:tc>
          <w:tcPr>
            <w:tcW w:w="3581" w:type="dxa"/>
            <w:tcBorders>
              <w:top w:val="single" w:sz="2" w:space="0" w:color="000000"/>
              <w:left w:val="single" w:sz="2" w:space="0" w:color="000000"/>
              <w:bottom w:val="single" w:sz="12" w:space="0" w:color="000000"/>
              <w:right w:val="single" w:sz="2" w:space="0" w:color="000000"/>
            </w:tcBorders>
            <w:vAlign w:val="bottom"/>
          </w:tcPr>
          <w:p>
            <w:pPr>
              <w:pStyle w:val="Sadrajitablice"/>
              <w:rPr>
                <w:rFonts w:ascii="Calibri" w:hAnsi="Calibri"/>
                <w:color w:val="000000"/>
              </w:rPr>
            </w:pPr>
            <w:r>
              <w:rPr>
                <w:rFonts w:ascii="Calibri" w:hAnsi="Calibri"/>
                <w:color w:val="000000"/>
              </w:rPr>
            </w:r>
          </w:p>
        </w:tc>
        <w:tc>
          <w:tcPr>
            <w:tcW w:w="1901" w:type="dxa"/>
            <w:tcBorders>
              <w:top w:val="single" w:sz="2" w:space="0" w:color="000000"/>
              <w:left w:val="single" w:sz="2" w:space="0" w:color="000000"/>
              <w:bottom w:val="single" w:sz="12" w:space="0" w:color="000000"/>
              <w:right w:val="single" w:sz="2" w:space="0" w:color="000000"/>
            </w:tcBorders>
            <w:vAlign w:val="bottom"/>
          </w:tcPr>
          <w:p>
            <w:pPr>
              <w:pStyle w:val="Sadrajitablice"/>
              <w:rPr>
                <w:rFonts w:ascii="Calibri" w:hAnsi="Calibri"/>
                <w:color w:val="000000"/>
              </w:rPr>
            </w:pPr>
            <w:r>
              <w:rPr>
                <w:rFonts w:ascii="Calibri" w:hAnsi="Calibri"/>
                <w:color w:val="000000"/>
              </w:rPr>
            </w:r>
          </w:p>
        </w:tc>
        <w:tc>
          <w:tcPr>
            <w:tcW w:w="1901" w:type="dxa"/>
            <w:tcBorders>
              <w:top w:val="single" w:sz="2" w:space="0" w:color="000000"/>
              <w:left w:val="single" w:sz="2" w:space="0" w:color="000000"/>
              <w:bottom w:val="single" w:sz="12" w:space="0" w:color="000000"/>
              <w:right w:val="single" w:sz="2" w:space="0" w:color="000000"/>
            </w:tcBorders>
            <w:vAlign w:val="bottom"/>
          </w:tcPr>
          <w:p>
            <w:pPr>
              <w:pStyle w:val="Sadrajitablice"/>
              <w:rPr>
                <w:rFonts w:ascii="Calibri" w:hAnsi="Calibri"/>
                <w:color w:val="000000"/>
              </w:rPr>
            </w:pPr>
            <w:r>
              <w:rPr>
                <w:rFonts w:ascii="Calibri" w:hAnsi="Calibri"/>
                <w:color w:val="000000"/>
              </w:rPr>
            </w:r>
          </w:p>
        </w:tc>
        <w:tc>
          <w:tcPr>
            <w:tcW w:w="1721" w:type="dxa"/>
            <w:tcBorders>
              <w:top w:val="single" w:sz="2" w:space="0" w:color="000000"/>
              <w:left w:val="single" w:sz="2" w:space="0" w:color="000000"/>
              <w:bottom w:val="single" w:sz="12" w:space="0" w:color="000000"/>
              <w:right w:val="single" w:sz="2" w:space="0" w:color="000000"/>
            </w:tcBorders>
            <w:vAlign w:val="bottom"/>
          </w:tcPr>
          <w:p>
            <w:pPr>
              <w:pStyle w:val="Sadrajitablice"/>
              <w:rPr>
                <w:rFonts w:ascii="Calibri" w:hAnsi="Calibri"/>
                <w:color w:val="000000"/>
              </w:rPr>
            </w:pPr>
            <w:r>
              <w:rPr>
                <w:rFonts w:ascii="Calibri" w:hAnsi="Calibri"/>
                <w:color w:val="000000"/>
              </w:rPr>
            </w:r>
          </w:p>
        </w:tc>
        <w:tc>
          <w:tcPr>
            <w:tcW w:w="1331" w:type="dxa"/>
            <w:tcBorders>
              <w:top w:val="single" w:sz="2" w:space="0" w:color="000000"/>
              <w:left w:val="single" w:sz="2" w:space="0" w:color="000000"/>
              <w:bottom w:val="single" w:sz="12" w:space="0" w:color="000000"/>
              <w:right w:val="single" w:sz="12" w:space="0" w:color="000000"/>
            </w:tcBorders>
            <w:vAlign w:val="bottom"/>
          </w:tcPr>
          <w:p>
            <w:pPr>
              <w:pStyle w:val="Sadrajitablice"/>
              <w:rPr>
                <w:rFonts w:ascii="Calibri" w:hAnsi="Calibri"/>
                <w:b/>
                <w:color w:val="000000"/>
                <w:sz w:val="14"/>
              </w:rPr>
            </w:pPr>
            <w:r>
              <w:rPr>
                <w:rFonts w:ascii="Calibri" w:hAnsi="Calibri"/>
                <w:b/>
                <w:color w:val="000000"/>
                <w:sz w:val="14"/>
              </w:rPr>
            </w:r>
          </w:p>
        </w:tc>
      </w:tr>
    </w:tbl>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b/>
          <w:b/>
          <w:bCs/>
        </w:rPr>
      </w:pPr>
      <w:r>
        <w:rPr>
          <w:rFonts w:ascii="Times New Roman" w:hAnsi="Times New Roman"/>
          <w:b/>
          <w:bCs/>
        </w:rPr>
        <w:t xml:space="preserve">IZVRŠENJE I - VI 2025. OPĆINE NEGOSLAVCI </w:t>
      </w:r>
    </w:p>
    <w:p>
      <w:pPr>
        <w:pStyle w:val="Normal"/>
        <w:bidi w:val="0"/>
        <w:jc w:val="center"/>
        <w:rPr>
          <w:rFonts w:ascii="Times New Roman" w:hAnsi="Times New Roman"/>
          <w:b/>
          <w:b/>
          <w:bCs/>
        </w:rPr>
      </w:pPr>
      <w:r>
        <w:rPr>
          <w:rFonts w:ascii="Times New Roman" w:hAnsi="Times New Roman"/>
          <w:b/>
          <w:bCs/>
        </w:rPr>
        <w:t>PRIHODI I RASHODI PREMA IZVORIMA FINANCIRANJA</w:t>
      </w:r>
    </w:p>
    <w:tbl>
      <w:tblPr>
        <w:tblW w:w="11950" w:type="dxa"/>
        <w:jc w:val="left"/>
        <w:tblInd w:w="28" w:type="dxa"/>
        <w:tblLayout w:type="fixed"/>
        <w:tblCellMar>
          <w:top w:w="28" w:type="dxa"/>
          <w:left w:w="28" w:type="dxa"/>
          <w:bottom w:w="28" w:type="dxa"/>
          <w:right w:w="28" w:type="dxa"/>
        </w:tblCellMar>
      </w:tblPr>
      <w:tblGrid>
        <w:gridCol w:w="6251"/>
        <w:gridCol w:w="1451"/>
        <w:gridCol w:w="1616"/>
        <w:gridCol w:w="1556"/>
        <w:gridCol w:w="1076"/>
      </w:tblGrid>
      <w:tr>
        <w:trPr>
          <w:trHeight w:val="791" w:hRule="atLeast"/>
        </w:trPr>
        <w:tc>
          <w:tcPr>
            <w:tcW w:w="6251" w:type="dxa"/>
            <w:tcBorders>
              <w:top w:val="single" w:sz="12" w:space="0" w:color="000000"/>
              <w:left w:val="single" w:sz="12" w:space="0" w:color="000000"/>
              <w:bottom w:val="single" w:sz="12" w:space="0" w:color="000000"/>
              <w:right w:val="single" w:sz="2" w:space="0" w:color="000000"/>
            </w:tcBorders>
            <w:vAlign w:val="bottom"/>
          </w:tcPr>
          <w:p>
            <w:pPr>
              <w:pStyle w:val="Sadrajitablice"/>
              <w:jc w:val="center"/>
              <w:rPr>
                <w:rFonts w:ascii="Calibri" w:hAnsi="Calibri"/>
                <w:b/>
              </w:rPr>
            </w:pPr>
            <w:r>
              <w:rPr>
                <w:rFonts w:ascii="Calibri" w:hAnsi="Calibri"/>
                <w:b/>
              </w:rPr>
              <w:t>Račun / opis</w:t>
            </w:r>
          </w:p>
        </w:tc>
        <w:tc>
          <w:tcPr>
            <w:tcW w:w="1451"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2024.</w:t>
            </w:r>
          </w:p>
        </w:tc>
        <w:tc>
          <w:tcPr>
            <w:tcW w:w="161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REBALANS 2025.</w:t>
            </w:r>
          </w:p>
        </w:tc>
        <w:tc>
          <w:tcPr>
            <w:tcW w:w="155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2025.</w:t>
            </w:r>
          </w:p>
        </w:tc>
        <w:tc>
          <w:tcPr>
            <w:tcW w:w="1076" w:type="dxa"/>
            <w:tcBorders>
              <w:top w:val="single" w:sz="12" w:space="0" w:color="000000"/>
              <w:left w:val="single" w:sz="2" w:space="0" w:color="000000"/>
              <w:bottom w:val="single" w:sz="12" w:space="0" w:color="000000"/>
              <w:right w:val="single" w:sz="12" w:space="0" w:color="000000"/>
            </w:tcBorders>
            <w:vAlign w:val="bottom"/>
          </w:tcPr>
          <w:p>
            <w:pPr>
              <w:pStyle w:val="Sadrajitablice"/>
              <w:jc w:val="center"/>
              <w:rPr>
                <w:b/>
              </w:rPr>
            </w:pPr>
            <w:r>
              <w:rPr>
                <w:b/>
              </w:rPr>
              <w:t>%</w:t>
            </w:r>
          </w:p>
        </w:tc>
      </w:tr>
      <w:tr>
        <w:trPr>
          <w:trHeight w:val="356" w:hRule="atLeast"/>
        </w:trPr>
        <w:tc>
          <w:tcPr>
            <w:tcW w:w="6251" w:type="dxa"/>
            <w:tcBorders>
              <w:left w:val="single" w:sz="12" w:space="0" w:color="000000"/>
              <w:bottom w:val="single" w:sz="2" w:space="0" w:color="000000"/>
              <w:right w:val="single" w:sz="2" w:space="0" w:color="000000"/>
            </w:tcBorders>
            <w:tcMar>
              <w:top w:w="0" w:type="dxa"/>
            </w:tcMar>
            <w:vAlign w:val="bottom"/>
          </w:tcPr>
          <w:p>
            <w:pPr>
              <w:pStyle w:val="Sadrajitablice"/>
              <w:jc w:val="center"/>
              <w:rPr>
                <w:rFonts w:ascii="Calibri" w:hAnsi="Calibri"/>
                <w:b/>
              </w:rPr>
            </w:pPr>
            <w:r>
              <w:rPr>
                <w:rFonts w:ascii="Calibri" w:hAnsi="Calibri"/>
                <w:b/>
              </w:rPr>
              <w:t>PRIHODI I RASHODI PREMA IZVORIMA FINANCIRANJA</w:t>
            </w:r>
          </w:p>
        </w:tc>
        <w:tc>
          <w:tcPr>
            <w:tcW w:w="1451" w:type="dxa"/>
            <w:tcBorders>
              <w:left w:val="single" w:sz="2" w:space="0" w:color="000000"/>
              <w:bottom w:val="single" w:sz="2" w:space="0" w:color="000000"/>
              <w:right w:val="single" w:sz="2" w:space="0" w:color="000000"/>
            </w:tcBorders>
            <w:tcMar>
              <w:top w:w="0" w:type="dxa"/>
            </w:tcMar>
            <w:vAlign w:val="bottom"/>
          </w:tcPr>
          <w:p>
            <w:pPr>
              <w:pStyle w:val="Sadrajitablice"/>
              <w:rPr>
                <w:b/>
              </w:rPr>
            </w:pPr>
            <w:r>
              <w:rPr>
                <w:b/>
              </w:rPr>
            </w:r>
          </w:p>
        </w:tc>
        <w:tc>
          <w:tcPr>
            <w:tcW w:w="1616" w:type="dxa"/>
            <w:tcBorders>
              <w:left w:val="single" w:sz="2" w:space="0" w:color="000000"/>
              <w:bottom w:val="single" w:sz="2" w:space="0" w:color="000000"/>
              <w:right w:val="single" w:sz="2" w:space="0" w:color="000000"/>
            </w:tcBorders>
            <w:tcMar>
              <w:top w:w="0" w:type="dxa"/>
            </w:tcMar>
            <w:vAlign w:val="bottom"/>
          </w:tcPr>
          <w:p>
            <w:pPr>
              <w:pStyle w:val="Sadrajitablice"/>
              <w:rPr>
                <w:b/>
              </w:rPr>
            </w:pPr>
            <w:r>
              <w:rPr>
                <w:b/>
              </w:rPr>
            </w:r>
          </w:p>
        </w:tc>
        <w:tc>
          <w:tcPr>
            <w:tcW w:w="1556" w:type="dxa"/>
            <w:tcBorders>
              <w:left w:val="single" w:sz="2" w:space="0" w:color="000000"/>
              <w:bottom w:val="single" w:sz="2" w:space="0" w:color="000000"/>
              <w:right w:val="single" w:sz="2" w:space="0" w:color="000000"/>
            </w:tcBorders>
            <w:tcMar>
              <w:top w:w="0" w:type="dxa"/>
            </w:tcMar>
            <w:vAlign w:val="bottom"/>
          </w:tcPr>
          <w:p>
            <w:pPr>
              <w:pStyle w:val="Sadrajitablice"/>
              <w:rPr/>
            </w:pPr>
            <w:r>
              <w:rPr/>
            </w:r>
          </w:p>
        </w:tc>
        <w:tc>
          <w:tcPr>
            <w:tcW w:w="1076" w:type="dxa"/>
            <w:tcBorders>
              <w:left w:val="single" w:sz="2" w:space="0" w:color="000000"/>
              <w:bottom w:val="single" w:sz="2" w:space="0" w:color="000000"/>
              <w:right w:val="single" w:sz="12" w:space="0" w:color="000000"/>
            </w:tcBorders>
            <w:tcMar>
              <w:top w:w="0" w:type="dxa"/>
            </w:tcMar>
            <w:vAlign w:val="bottom"/>
          </w:tcPr>
          <w:p>
            <w:pPr>
              <w:pStyle w:val="Sadrajitablice"/>
              <w:rPr/>
            </w:pPr>
            <w:r>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SVEUKUPNI PRIHODI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598.521,55</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2.647.917,81</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1.001.881,64</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37,84</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1. Opći prihodi i primici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72.677,28</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229.190,00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66.975,76</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29,22</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1.1. Opći prihodi i primici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72.677,28</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229.190,00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66.975,76</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29,22</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3. Vlastiti prihodi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3.1. Vlastiti prihodi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4. Prihodi za posebne namjene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5.320,03</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16.899,00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8.581,68</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50,78</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4.3. Prihodi od nefinancijske imovine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5.320,03</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16.899,00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8.581,68</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50,78</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5. Pomoći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320.524,24</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1.730.000,00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354.495,39</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20,49</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5.2. Ostale pomoći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149.524,24</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460.000,00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167.246,57</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36,36</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5.3. Pomoći EU</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171.000,00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1.270.000,00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187.248,82</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14,74</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6. Donacije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200.000,00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300.000,00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200.000,00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66,67</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6.1. Donacije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200.000,00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300.000,00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200.000,00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66,67</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7. Prihodi od prodaje nefinancijske imovine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7.1. Prihodi od prodaje ili zamjene nefinancijske imovine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7.2. Prih.od pro.nef. imovine i nad. štete s osnova osig. PK</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8. Namjenski primici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8.1. Namjenski primici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9. Višak prihoda</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371.828,81</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371.828,81</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100,00</w:t>
            </w:r>
          </w:p>
        </w:tc>
      </w:tr>
      <w:tr>
        <w:trPr>
          <w:trHeight w:val="371" w:hRule="atLeast"/>
        </w:trPr>
        <w:tc>
          <w:tcPr>
            <w:tcW w:w="6251" w:type="dxa"/>
            <w:tcBorders>
              <w:top w:val="single" w:sz="2" w:space="0" w:color="000000"/>
              <w:left w:val="single" w:sz="12" w:space="0" w:color="000000"/>
              <w:bottom w:val="single" w:sz="12" w:space="0" w:color="000000"/>
              <w:right w:val="single" w:sz="2" w:space="0" w:color="000000"/>
            </w:tcBorders>
            <w:vAlign w:val="bottom"/>
          </w:tcPr>
          <w:p>
            <w:pPr>
              <w:pStyle w:val="Sadrajitablice"/>
              <w:jc w:val="left"/>
              <w:rPr>
                <w:rFonts w:ascii="Calibri" w:hAnsi="Calibri"/>
                <w:b/>
                <w:color w:val="000000"/>
              </w:rPr>
            </w:pPr>
            <w:r>
              <w:rPr>
                <w:rFonts w:ascii="Calibri" w:hAnsi="Calibri"/>
                <w:b/>
                <w:color w:val="000000"/>
              </w:rPr>
              <w:t>Izvor 9.1. Višak prihoda</w:t>
            </w:r>
          </w:p>
        </w:tc>
        <w:tc>
          <w:tcPr>
            <w:tcW w:w="1451"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371.828,81</w:t>
            </w:r>
          </w:p>
        </w:tc>
        <w:tc>
          <w:tcPr>
            <w:tcW w:w="155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pPr>
            <w:r>
              <w:rPr/>
              <w:t>371.828,81</w:t>
            </w:r>
          </w:p>
        </w:tc>
        <w:tc>
          <w:tcPr>
            <w:tcW w:w="1076" w:type="dxa"/>
            <w:tcBorders>
              <w:top w:val="single" w:sz="2" w:space="0" w:color="000000"/>
              <w:left w:val="single" w:sz="2" w:space="0" w:color="000000"/>
              <w:bottom w:val="single" w:sz="12" w:space="0" w:color="000000"/>
              <w:right w:val="single" w:sz="12" w:space="0" w:color="000000"/>
            </w:tcBorders>
            <w:vAlign w:val="bottom"/>
          </w:tcPr>
          <w:p>
            <w:pPr>
              <w:pStyle w:val="Sadrajitablice"/>
              <w:jc w:val="right"/>
              <w:rPr>
                <w:b/>
              </w:rPr>
            </w:pPr>
            <w:r>
              <w:rPr>
                <w:b/>
              </w:rPr>
              <w:t>100,00</w:t>
            </w:r>
          </w:p>
        </w:tc>
      </w:tr>
    </w:tbl>
    <w:p>
      <w:pPr>
        <w:pStyle w:val="Normal"/>
        <w:bidi w:val="0"/>
        <w:jc w:val="center"/>
        <w:rPr>
          <w:rFonts w:ascii="Times New Roman" w:hAnsi="Times New Roman"/>
          <w:b/>
          <w:b/>
          <w:bCs/>
        </w:rPr>
      </w:pPr>
      <w:r>
        <w:rPr/>
      </w:r>
    </w:p>
    <w:p>
      <w:pPr>
        <w:pStyle w:val="Normal"/>
        <w:bidi w:val="0"/>
        <w:jc w:val="center"/>
        <w:rPr>
          <w:rFonts w:ascii="Times New Roman" w:hAnsi="Times New Roman"/>
          <w:b/>
          <w:b/>
          <w:bCs/>
        </w:rPr>
      </w:pPr>
      <w:r>
        <w:rPr/>
      </w:r>
    </w:p>
    <w:tbl>
      <w:tblPr>
        <w:tblW w:w="11950" w:type="dxa"/>
        <w:jc w:val="left"/>
        <w:tblInd w:w="28" w:type="dxa"/>
        <w:tblLayout w:type="fixed"/>
        <w:tblCellMar>
          <w:top w:w="28" w:type="dxa"/>
          <w:left w:w="28" w:type="dxa"/>
          <w:bottom w:w="28" w:type="dxa"/>
          <w:right w:w="28" w:type="dxa"/>
        </w:tblCellMar>
      </w:tblPr>
      <w:tblGrid>
        <w:gridCol w:w="6251"/>
        <w:gridCol w:w="1451"/>
        <w:gridCol w:w="1616"/>
        <w:gridCol w:w="1556"/>
        <w:gridCol w:w="1076"/>
      </w:tblGrid>
      <w:tr>
        <w:trPr>
          <w:trHeight w:val="371" w:hRule="atLeast"/>
        </w:trPr>
        <w:tc>
          <w:tcPr>
            <w:tcW w:w="6251" w:type="dxa"/>
            <w:tcBorders>
              <w:top w:val="single" w:sz="12" w:space="0" w:color="000000"/>
              <w:left w:val="single" w:sz="12" w:space="0" w:color="000000"/>
              <w:bottom w:val="single" w:sz="12" w:space="0" w:color="000000"/>
              <w:right w:val="single" w:sz="2" w:space="0" w:color="000000"/>
            </w:tcBorders>
            <w:vAlign w:val="bottom"/>
          </w:tcPr>
          <w:p>
            <w:pPr>
              <w:pStyle w:val="Sadrajitablice"/>
              <w:jc w:val="left"/>
              <w:rPr>
                <w:rFonts w:ascii="Calibri" w:hAnsi="Calibri"/>
                <w:b/>
              </w:rPr>
            </w:pPr>
            <w:r>
              <w:rPr>
                <w:rFonts w:ascii="Calibri" w:hAnsi="Calibri"/>
                <w:b/>
              </w:rPr>
              <w:t>SVEUKUPNI RASHODI</w:t>
            </w:r>
          </w:p>
        </w:tc>
        <w:tc>
          <w:tcPr>
            <w:tcW w:w="1451" w:type="dxa"/>
            <w:tcBorders>
              <w:top w:val="single" w:sz="12" w:space="0" w:color="000000"/>
              <w:left w:val="single" w:sz="2" w:space="0" w:color="000000"/>
              <w:bottom w:val="single" w:sz="12" w:space="0" w:color="000000"/>
              <w:right w:val="single" w:sz="2" w:space="0" w:color="000000"/>
            </w:tcBorders>
            <w:vAlign w:val="bottom"/>
          </w:tcPr>
          <w:p>
            <w:pPr>
              <w:pStyle w:val="Sadrajitablice"/>
              <w:jc w:val="right"/>
              <w:rPr>
                <w:rFonts w:ascii="Calibri" w:hAnsi="Calibri"/>
                <w:b/>
              </w:rPr>
            </w:pPr>
            <w:r>
              <w:rPr>
                <w:rFonts w:ascii="Calibri" w:hAnsi="Calibri"/>
                <w:b/>
              </w:rPr>
              <w:t>2.471.820,77</w:t>
            </w:r>
          </w:p>
        </w:tc>
        <w:tc>
          <w:tcPr>
            <w:tcW w:w="1616" w:type="dxa"/>
            <w:tcBorders>
              <w:top w:val="single" w:sz="12" w:space="0" w:color="000000"/>
              <w:left w:val="single" w:sz="2" w:space="0" w:color="000000"/>
              <w:bottom w:val="single" w:sz="12" w:space="0" w:color="000000"/>
              <w:right w:val="single" w:sz="2" w:space="0" w:color="000000"/>
            </w:tcBorders>
            <w:vAlign w:val="bottom"/>
          </w:tcPr>
          <w:p>
            <w:pPr>
              <w:pStyle w:val="Sadrajitablice"/>
              <w:jc w:val="right"/>
              <w:rPr>
                <w:rFonts w:ascii="Calibri" w:hAnsi="Calibri"/>
                <w:b/>
              </w:rPr>
            </w:pPr>
            <w:r>
              <w:rPr>
                <w:rFonts w:ascii="Calibri" w:hAnsi="Calibri"/>
                <w:b/>
              </w:rPr>
              <w:t>2.647.917,81</w:t>
            </w:r>
          </w:p>
        </w:tc>
        <w:tc>
          <w:tcPr>
            <w:tcW w:w="1556" w:type="dxa"/>
            <w:tcBorders>
              <w:top w:val="single" w:sz="12" w:space="0" w:color="000000"/>
              <w:left w:val="single" w:sz="2" w:space="0" w:color="000000"/>
              <w:bottom w:val="single" w:sz="12" w:space="0" w:color="000000"/>
              <w:right w:val="single" w:sz="2" w:space="0" w:color="000000"/>
            </w:tcBorders>
            <w:vAlign w:val="bottom"/>
          </w:tcPr>
          <w:p>
            <w:pPr>
              <w:pStyle w:val="Sadrajitablice"/>
              <w:jc w:val="right"/>
              <w:rPr>
                <w:rFonts w:ascii="Calibri" w:hAnsi="Calibri"/>
                <w:b/>
              </w:rPr>
            </w:pPr>
            <w:r>
              <w:rPr>
                <w:rFonts w:ascii="Calibri" w:hAnsi="Calibri"/>
                <w:b/>
              </w:rPr>
              <w:t>610.497,34</w:t>
            </w:r>
          </w:p>
        </w:tc>
        <w:tc>
          <w:tcPr>
            <w:tcW w:w="1076" w:type="dxa"/>
            <w:tcBorders>
              <w:top w:val="single" w:sz="12" w:space="0" w:color="000000"/>
              <w:left w:val="single" w:sz="2" w:space="0" w:color="000000"/>
              <w:bottom w:val="single" w:sz="12" w:space="0" w:color="000000"/>
              <w:right w:val="single" w:sz="12" w:space="0" w:color="000000"/>
            </w:tcBorders>
            <w:vAlign w:val="bottom"/>
          </w:tcPr>
          <w:p>
            <w:pPr>
              <w:pStyle w:val="Sadrajitablice"/>
              <w:jc w:val="right"/>
              <w:rPr>
                <w:b/>
              </w:rPr>
            </w:pPr>
            <w:r>
              <w:rPr>
                <w:b/>
              </w:rPr>
              <w:t>23,06</w:t>
            </w:r>
          </w:p>
        </w:tc>
      </w:tr>
      <w:tr>
        <w:trPr>
          <w:trHeight w:val="356" w:hRule="atLeast"/>
        </w:trPr>
        <w:tc>
          <w:tcPr>
            <w:tcW w:w="6251" w:type="dxa"/>
            <w:tcBorders>
              <w:left w:val="single" w:sz="12" w:space="0" w:color="000000"/>
              <w:bottom w:val="single" w:sz="2" w:space="0" w:color="000000"/>
              <w:right w:val="single" w:sz="2" w:space="0" w:color="000000"/>
            </w:tcBorders>
            <w:tcMar>
              <w:top w:w="0" w:type="dxa"/>
            </w:tcMar>
            <w:vAlign w:val="bottom"/>
          </w:tcPr>
          <w:p>
            <w:pPr>
              <w:pStyle w:val="Sadrajitablice"/>
              <w:jc w:val="left"/>
              <w:rPr>
                <w:rFonts w:ascii="Calibri" w:hAnsi="Calibri"/>
                <w:b/>
              </w:rPr>
            </w:pPr>
            <w:r>
              <w:rPr>
                <w:rFonts w:ascii="Calibri" w:hAnsi="Calibri"/>
                <w:b/>
              </w:rPr>
              <w:t>Izvor 1. Opći prihodi i primici</w:t>
            </w:r>
          </w:p>
        </w:tc>
        <w:tc>
          <w:tcPr>
            <w:tcW w:w="1451" w:type="dxa"/>
            <w:tcBorders>
              <w:left w:val="single" w:sz="2" w:space="0" w:color="000000"/>
              <w:bottom w:val="single" w:sz="2" w:space="0" w:color="000000"/>
              <w:right w:val="single" w:sz="2" w:space="0" w:color="000000"/>
            </w:tcBorders>
            <w:tcMar>
              <w:top w:w="0" w:type="dxa"/>
            </w:tcMar>
            <w:vAlign w:val="bottom"/>
          </w:tcPr>
          <w:p>
            <w:pPr>
              <w:pStyle w:val="Sadrajitablice"/>
              <w:jc w:val="right"/>
              <w:rPr>
                <w:rFonts w:ascii="Calibri" w:hAnsi="Calibri"/>
                <w:b/>
              </w:rPr>
            </w:pPr>
            <w:r>
              <w:rPr>
                <w:rFonts w:ascii="Calibri" w:hAnsi="Calibri"/>
                <w:b/>
              </w:rPr>
              <w:t>223.790,00</w:t>
            </w:r>
          </w:p>
        </w:tc>
        <w:tc>
          <w:tcPr>
            <w:tcW w:w="1616" w:type="dxa"/>
            <w:tcBorders>
              <w:left w:val="single" w:sz="2" w:space="0" w:color="000000"/>
              <w:bottom w:val="single" w:sz="2" w:space="0" w:color="000000"/>
              <w:right w:val="single" w:sz="2" w:space="0" w:color="000000"/>
            </w:tcBorders>
            <w:tcMar>
              <w:top w:w="0" w:type="dxa"/>
            </w:tcMar>
            <w:vAlign w:val="bottom"/>
          </w:tcPr>
          <w:p>
            <w:pPr>
              <w:pStyle w:val="Sadrajitablice"/>
              <w:jc w:val="right"/>
              <w:rPr>
                <w:rFonts w:ascii="Calibri" w:hAnsi="Calibri"/>
                <w:b/>
              </w:rPr>
            </w:pPr>
            <w:r>
              <w:rPr>
                <w:rFonts w:ascii="Calibri" w:hAnsi="Calibri"/>
                <w:b/>
              </w:rPr>
              <w:t>229.190,00</w:t>
            </w:r>
          </w:p>
        </w:tc>
        <w:tc>
          <w:tcPr>
            <w:tcW w:w="1556" w:type="dxa"/>
            <w:tcBorders>
              <w:left w:val="single" w:sz="2" w:space="0" w:color="000000"/>
              <w:bottom w:val="single" w:sz="2" w:space="0" w:color="000000"/>
              <w:right w:val="single" w:sz="2" w:space="0" w:color="000000"/>
            </w:tcBorders>
            <w:tcMar>
              <w:top w:w="0" w:type="dxa"/>
            </w:tcMar>
            <w:vAlign w:val="bottom"/>
          </w:tcPr>
          <w:p>
            <w:pPr>
              <w:pStyle w:val="Sadrajitablice"/>
              <w:jc w:val="right"/>
              <w:rPr>
                <w:rFonts w:ascii="Calibri" w:hAnsi="Calibri"/>
                <w:b/>
              </w:rPr>
            </w:pPr>
            <w:r>
              <w:rPr>
                <w:rFonts w:ascii="Calibri" w:hAnsi="Calibri"/>
                <w:b/>
              </w:rPr>
              <w:t>41.591,08</w:t>
            </w:r>
          </w:p>
        </w:tc>
        <w:tc>
          <w:tcPr>
            <w:tcW w:w="1076" w:type="dxa"/>
            <w:tcBorders>
              <w:left w:val="single" w:sz="2" w:space="0" w:color="000000"/>
              <w:bottom w:val="single" w:sz="2" w:space="0" w:color="000000"/>
              <w:right w:val="single" w:sz="12" w:space="0" w:color="000000"/>
            </w:tcBorders>
            <w:tcMar>
              <w:top w:w="0" w:type="dxa"/>
            </w:tcMar>
            <w:vAlign w:val="bottom"/>
          </w:tcPr>
          <w:p>
            <w:pPr>
              <w:pStyle w:val="Sadrajitablice"/>
              <w:jc w:val="right"/>
              <w:rPr>
                <w:b/>
              </w:rPr>
            </w:pPr>
            <w:r>
              <w:rPr>
                <w:b/>
              </w:rPr>
              <w:t>18,15</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1.1. Opći prihodi i primici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223.790,00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229.190,00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41.591,08</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18,15</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3. Vlastiti prihodi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3.1. Vlastiti prihodi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rPr>
                <w:b/>
              </w:rPr>
            </w:pPr>
            <w:r>
              <w:rPr>
                <w:b/>
              </w:rPr>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4. Prihodi za posebne namjene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20.917,00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16.899,00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400,00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2,37</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4.3. Prihodi od nefinancijske imovine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20.917,00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16.899,00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2,37</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5. Pomoći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1.728.280,00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1.730.000,00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388.732,07</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22,47</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5.2. Ostale pomoći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458.280,00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460.000,00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154.199,35</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33,52</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5.3. Pomoći EU</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1.270.000,00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1.270.000,00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234.532,72</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18,47</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6. Donacije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300.000,00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300.000,00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0,00</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6.1. Donacije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300.000,00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300.000,00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0,00</w:t>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7. Prihodi od prodaje nefinancijske imovine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7.1. Prihodi od prodaje ili zamjene nefinancijske imovine</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7.2. Prih.od pro.nef. imovine i nad. štete s osnova osig. PK</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8. Namjenski primici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8.1. Namjenski primici</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rPr>
                <w:b/>
              </w:rPr>
            </w:pPr>
            <w:r>
              <w:rPr>
                <w:b/>
              </w:rPr>
            </w:r>
          </w:p>
        </w:tc>
      </w:tr>
      <w:tr>
        <w:trPr>
          <w:trHeight w:val="356" w:hRule="atLeast"/>
        </w:trPr>
        <w:tc>
          <w:tcPr>
            <w:tcW w:w="625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rFonts w:ascii="Calibri" w:hAnsi="Calibri"/>
                <w:b/>
              </w:rPr>
            </w:pPr>
            <w:r>
              <w:rPr>
                <w:rFonts w:ascii="Calibri" w:hAnsi="Calibri"/>
                <w:b/>
              </w:rPr>
              <w:t>Izvor 9. Višak prihoda</w:t>
            </w:r>
          </w:p>
        </w:tc>
        <w:tc>
          <w:tcPr>
            <w:tcW w:w="14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198.833,77</w:t>
            </w:r>
          </w:p>
        </w:tc>
        <w:tc>
          <w:tcPr>
            <w:tcW w:w="161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371.828,81</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rFonts w:ascii="Calibri" w:hAnsi="Calibri"/>
                <w:b/>
              </w:rPr>
            </w:pPr>
            <w:r>
              <w:rPr>
                <w:rFonts w:ascii="Calibri" w:hAnsi="Calibri"/>
                <w:b/>
              </w:rPr>
              <w:t>179.774,19</w:t>
            </w:r>
          </w:p>
        </w:tc>
        <w:tc>
          <w:tcPr>
            <w:tcW w:w="1076"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b/>
              </w:rPr>
            </w:pPr>
            <w:r>
              <w:rPr>
                <w:b/>
              </w:rPr>
              <w:t>48,35</w:t>
            </w:r>
          </w:p>
        </w:tc>
      </w:tr>
      <w:tr>
        <w:trPr>
          <w:trHeight w:val="371" w:hRule="atLeast"/>
        </w:trPr>
        <w:tc>
          <w:tcPr>
            <w:tcW w:w="6251" w:type="dxa"/>
            <w:tcBorders>
              <w:top w:val="single" w:sz="2" w:space="0" w:color="000000"/>
              <w:left w:val="single" w:sz="12" w:space="0" w:color="000000"/>
              <w:bottom w:val="single" w:sz="12" w:space="0" w:color="000000"/>
              <w:right w:val="single" w:sz="2" w:space="0" w:color="000000"/>
            </w:tcBorders>
            <w:vAlign w:val="bottom"/>
          </w:tcPr>
          <w:p>
            <w:pPr>
              <w:pStyle w:val="Sadrajitablice"/>
              <w:jc w:val="left"/>
              <w:rPr>
                <w:rFonts w:ascii="Calibri" w:hAnsi="Calibri"/>
                <w:b/>
                <w:color w:val="000000"/>
              </w:rPr>
            </w:pPr>
            <w:r>
              <w:rPr>
                <w:rFonts w:ascii="Calibri" w:hAnsi="Calibri"/>
                <w:b/>
                <w:color w:val="000000"/>
              </w:rPr>
              <w:t>Izvor 9.1. Višak prihoda</w:t>
            </w:r>
          </w:p>
        </w:tc>
        <w:tc>
          <w:tcPr>
            <w:tcW w:w="1451"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198.833,77</w:t>
            </w:r>
          </w:p>
        </w:tc>
        <w:tc>
          <w:tcPr>
            <w:tcW w:w="161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371.828,81</w:t>
            </w:r>
          </w:p>
        </w:tc>
        <w:tc>
          <w:tcPr>
            <w:tcW w:w="155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pPr>
            <w:r>
              <w:rPr/>
              <w:t>179.774,19</w:t>
            </w:r>
          </w:p>
        </w:tc>
        <w:tc>
          <w:tcPr>
            <w:tcW w:w="1076" w:type="dxa"/>
            <w:tcBorders>
              <w:top w:val="single" w:sz="2" w:space="0" w:color="000000"/>
              <w:left w:val="single" w:sz="2" w:space="0" w:color="000000"/>
              <w:bottom w:val="single" w:sz="12" w:space="0" w:color="000000"/>
              <w:right w:val="single" w:sz="12" w:space="0" w:color="000000"/>
            </w:tcBorders>
            <w:vAlign w:val="bottom"/>
          </w:tcPr>
          <w:p>
            <w:pPr>
              <w:pStyle w:val="Sadrajitablice"/>
              <w:jc w:val="right"/>
              <w:rPr>
                <w:b/>
              </w:rPr>
            </w:pPr>
            <w:r>
              <w:rPr>
                <w:b/>
              </w:rPr>
              <w:t>48,35</w:t>
            </w:r>
          </w:p>
        </w:tc>
      </w:tr>
    </w:tbl>
    <w:p>
      <w:pPr>
        <w:pStyle w:val="Normal"/>
        <w:bidi w:val="0"/>
        <w:jc w:val="center"/>
        <w:rPr>
          <w:rFonts w:ascii="Times New Roman" w:hAnsi="Times New Roman"/>
          <w:b/>
          <w:b/>
          <w:bCs/>
        </w:rPr>
      </w:pPr>
      <w:r>
        <w:rPr>
          <w:rFonts w:ascii="Times New Roman" w:hAnsi="Times New Roman"/>
        </w:rPr>
      </w:r>
    </w:p>
    <w:p>
      <w:pPr>
        <w:pStyle w:val="Normal"/>
        <w:bidi w:val="0"/>
        <w:jc w:val="center"/>
        <w:rPr>
          <w:rFonts w:ascii="Times New Roman" w:hAnsi="Times New Roman"/>
          <w:b/>
          <w:b/>
          <w:bCs/>
        </w:rPr>
      </w:pPr>
      <w:r>
        <w:rPr>
          <w:rFonts w:ascii="Times New Roman" w:hAnsi="Times New Roman"/>
          <w:b/>
          <w:bCs/>
        </w:rPr>
        <w:t>RASHODI PREMA FUNKCIJSKOJ KLASIFIKACIJI</w:t>
      </w:r>
    </w:p>
    <w:tbl>
      <w:tblPr>
        <w:tblW w:w="12756" w:type="dxa"/>
        <w:jc w:val="left"/>
        <w:tblInd w:w="28" w:type="dxa"/>
        <w:tblLayout w:type="fixed"/>
        <w:tblCellMar>
          <w:top w:w="28" w:type="dxa"/>
          <w:left w:w="28" w:type="dxa"/>
          <w:bottom w:w="28" w:type="dxa"/>
          <w:right w:w="28" w:type="dxa"/>
        </w:tblCellMar>
      </w:tblPr>
      <w:tblGrid>
        <w:gridCol w:w="1721"/>
        <w:gridCol w:w="4901"/>
        <w:gridCol w:w="1706"/>
        <w:gridCol w:w="1691"/>
        <w:gridCol w:w="1646"/>
        <w:gridCol w:w="1091"/>
      </w:tblGrid>
      <w:tr>
        <w:trPr>
          <w:trHeight w:val="731" w:hRule="atLeast"/>
        </w:trPr>
        <w:tc>
          <w:tcPr>
            <w:tcW w:w="1721" w:type="dxa"/>
            <w:tcBorders>
              <w:top w:val="single" w:sz="12" w:space="0" w:color="000000"/>
              <w:left w:val="single" w:sz="12" w:space="0" w:color="000000"/>
              <w:bottom w:val="single" w:sz="12" w:space="0" w:color="000000"/>
              <w:right w:val="single" w:sz="2" w:space="0" w:color="000000"/>
            </w:tcBorders>
            <w:vAlign w:val="bottom"/>
          </w:tcPr>
          <w:p>
            <w:pPr>
              <w:pStyle w:val="Sadrajitablice"/>
              <w:rPr>
                <w:b/>
              </w:rPr>
            </w:pPr>
            <w:r>
              <w:rPr>
                <w:b/>
              </w:rPr>
            </w:r>
          </w:p>
        </w:tc>
        <w:tc>
          <w:tcPr>
            <w:tcW w:w="4901" w:type="dxa"/>
            <w:tcBorders>
              <w:top w:val="single" w:sz="12" w:space="0" w:color="000000"/>
              <w:left w:val="single" w:sz="2" w:space="0" w:color="000000"/>
              <w:bottom w:val="single" w:sz="12" w:space="0" w:color="000000"/>
              <w:right w:val="single" w:sz="2" w:space="0" w:color="000000"/>
            </w:tcBorders>
            <w:vAlign w:val="bottom"/>
          </w:tcPr>
          <w:p>
            <w:pPr>
              <w:pStyle w:val="Sadrajitablice"/>
              <w:jc w:val="left"/>
              <w:rPr>
                <w:b/>
              </w:rPr>
            </w:pPr>
            <w:r>
              <w:rPr>
                <w:b/>
              </w:rPr>
              <w:t>Funkcijska klasifikacija</w:t>
            </w:r>
          </w:p>
        </w:tc>
        <w:tc>
          <w:tcPr>
            <w:tcW w:w="170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2024.</w:t>
            </w:r>
          </w:p>
        </w:tc>
        <w:tc>
          <w:tcPr>
            <w:tcW w:w="1691"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REBALANS 2025.</w:t>
            </w:r>
          </w:p>
        </w:tc>
        <w:tc>
          <w:tcPr>
            <w:tcW w:w="164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2025.</w:t>
            </w:r>
          </w:p>
        </w:tc>
        <w:tc>
          <w:tcPr>
            <w:tcW w:w="1091" w:type="dxa"/>
            <w:tcBorders>
              <w:top w:val="single" w:sz="12" w:space="0" w:color="000000"/>
              <w:left w:val="single" w:sz="2" w:space="0" w:color="000000"/>
              <w:bottom w:val="single" w:sz="12" w:space="0" w:color="000000"/>
              <w:right w:val="single" w:sz="12" w:space="0" w:color="000000"/>
            </w:tcBorders>
            <w:vAlign w:val="bottom"/>
          </w:tcPr>
          <w:p>
            <w:pPr>
              <w:pStyle w:val="Sadrajitablice"/>
              <w:jc w:val="center"/>
              <w:rPr>
                <w:b/>
              </w:rPr>
            </w:pPr>
            <w:r>
              <w:rPr>
                <w:b/>
              </w:rPr>
              <w:t>%</w:t>
            </w:r>
          </w:p>
        </w:tc>
      </w:tr>
      <w:tr>
        <w:trPr>
          <w:trHeight w:val="311" w:hRule="atLeast"/>
        </w:trPr>
        <w:tc>
          <w:tcPr>
            <w:tcW w:w="1721" w:type="dxa"/>
            <w:tcBorders>
              <w:left w:val="single" w:sz="12" w:space="0" w:color="000000"/>
              <w:bottom w:val="single" w:sz="2" w:space="0" w:color="000000"/>
              <w:right w:val="single" w:sz="2" w:space="0" w:color="000000"/>
            </w:tcBorders>
            <w:tcMar>
              <w:top w:w="0" w:type="dxa"/>
            </w:tcMar>
            <w:vAlign w:val="bottom"/>
          </w:tcPr>
          <w:p>
            <w:pPr>
              <w:pStyle w:val="Sadrajitablice"/>
              <w:jc w:val="left"/>
              <w:rPr>
                <w:b/>
              </w:rPr>
            </w:pPr>
            <w:r>
              <w:rPr>
                <w:b/>
              </w:rPr>
              <w:t>0111</w:t>
            </w:r>
          </w:p>
        </w:tc>
        <w:tc>
          <w:tcPr>
            <w:tcW w:w="4901" w:type="dxa"/>
            <w:tcBorders>
              <w:left w:val="single" w:sz="2" w:space="0" w:color="000000"/>
              <w:bottom w:val="single" w:sz="2" w:space="0" w:color="000000"/>
              <w:right w:val="single" w:sz="2" w:space="0" w:color="000000"/>
            </w:tcBorders>
            <w:tcMar>
              <w:top w:w="0" w:type="dxa"/>
            </w:tcMar>
            <w:vAlign w:val="bottom"/>
          </w:tcPr>
          <w:p>
            <w:pPr>
              <w:pStyle w:val="Sadrajitablice"/>
              <w:jc w:val="left"/>
              <w:rPr>
                <w:b/>
              </w:rPr>
            </w:pPr>
            <w:r>
              <w:rPr>
                <w:b/>
              </w:rPr>
              <w:t>Izvršna i zakonodavna tijela</w:t>
            </w:r>
          </w:p>
        </w:tc>
        <w:tc>
          <w:tcPr>
            <w:tcW w:w="1706"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235.061,73</w:t>
            </w:r>
          </w:p>
        </w:tc>
        <w:tc>
          <w:tcPr>
            <w:tcW w:w="1691"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796.044,00</w:t>
            </w:r>
          </w:p>
        </w:tc>
        <w:tc>
          <w:tcPr>
            <w:tcW w:w="1646"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382.367,29</w:t>
            </w:r>
          </w:p>
        </w:tc>
        <w:tc>
          <w:tcPr>
            <w:tcW w:w="1091" w:type="dxa"/>
            <w:tcBorders>
              <w:left w:val="single" w:sz="2" w:space="0" w:color="000000"/>
              <w:bottom w:val="single" w:sz="2" w:space="0" w:color="000000"/>
              <w:right w:val="single" w:sz="12" w:space="0" w:color="000000"/>
            </w:tcBorders>
            <w:tcMar>
              <w:top w:w="0" w:type="dxa"/>
            </w:tcMar>
            <w:vAlign w:val="bottom"/>
          </w:tcPr>
          <w:p>
            <w:pPr>
              <w:pStyle w:val="Sadrajitablice"/>
              <w:jc w:val="right"/>
              <w:rPr/>
            </w:pPr>
            <w:r>
              <w:rPr/>
              <w:t>48,03</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0320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Usluge protupožarne zaštite</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6.650,00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6.650,00</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100,00</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0360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javni red i sigurnost</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1.330,00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663,61</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49,90</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0620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Razvoj zajednice</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6.480,04</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30.000,00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1.400,00</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4,67</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0640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Ulična rasvjeta</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42,10</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7.000,00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0,00</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0660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vezani uz stanovanje i komunalnu infrastrukturu</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25.447,00</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1.577.828,81</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114.787,37</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7,28</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0810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Službe rekreacije i sporta</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41.000,00</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69.400,00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47.350,00</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68,23</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0820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Službe kulture</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21.221,00</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52.265,00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12.300,00</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23,53</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0840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Religijske i druge službe zajednice</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700,00</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13.400,00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400,00</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2,99</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0912</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Predškolsko obrazovanje</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12.626,69</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37.550,00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15.771,62</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42,00</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0913</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Osnovnoškolsko obrazovanje</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7.359,88</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12.000,00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6.374,50</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53,12</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0920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Srednješkoslko obraovanje</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1.035,30</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3.300,00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2.978,63</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90,26</w:t>
            </w:r>
          </w:p>
        </w:tc>
      </w:tr>
      <w:tr>
        <w:trPr>
          <w:trHeight w:val="311" w:hRule="atLeast"/>
        </w:trPr>
        <w:tc>
          <w:tcPr>
            <w:tcW w:w="1721"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rPr>
            </w:pPr>
            <w:r>
              <w:rPr>
                <w:b/>
              </w:rPr>
              <w:t>1070</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Socijalna pomoć stanovništvu</w:t>
            </w:r>
          </w:p>
        </w:tc>
        <w:tc>
          <w:tcPr>
            <w:tcW w:w="170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307,59</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41.150,00</w:t>
            </w:r>
          </w:p>
        </w:tc>
        <w:tc>
          <w:tcPr>
            <w:tcW w:w="164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19.454,32</w:t>
            </w:r>
          </w:p>
        </w:tc>
        <w:tc>
          <w:tcPr>
            <w:tcW w:w="109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47,28</w:t>
            </w:r>
          </w:p>
        </w:tc>
      </w:tr>
      <w:tr>
        <w:trPr>
          <w:trHeight w:val="326" w:hRule="atLeast"/>
        </w:trPr>
        <w:tc>
          <w:tcPr>
            <w:tcW w:w="1721" w:type="dxa"/>
            <w:tcBorders>
              <w:top w:val="single" w:sz="2" w:space="0" w:color="000000"/>
              <w:left w:val="single" w:sz="12" w:space="0" w:color="000000"/>
              <w:bottom w:val="single" w:sz="12" w:space="0" w:color="000000"/>
              <w:right w:val="single" w:sz="2" w:space="0" w:color="000000"/>
            </w:tcBorders>
            <w:vAlign w:val="bottom"/>
          </w:tcPr>
          <w:p>
            <w:pPr>
              <w:pStyle w:val="Sadrajitablice"/>
              <w:rPr>
                <w:b/>
              </w:rPr>
            </w:pPr>
            <w:r>
              <w:rPr>
                <w:b/>
              </w:rPr>
            </w:r>
          </w:p>
        </w:tc>
        <w:tc>
          <w:tcPr>
            <w:tcW w:w="4901" w:type="dxa"/>
            <w:tcBorders>
              <w:top w:val="single" w:sz="2" w:space="0" w:color="000000"/>
              <w:left w:val="single" w:sz="2" w:space="0" w:color="000000"/>
              <w:bottom w:val="single" w:sz="12" w:space="0" w:color="000000"/>
              <w:right w:val="single" w:sz="2" w:space="0" w:color="000000"/>
            </w:tcBorders>
            <w:vAlign w:val="bottom"/>
          </w:tcPr>
          <w:p>
            <w:pPr>
              <w:pStyle w:val="Sadrajitablice"/>
              <w:jc w:val="left"/>
              <w:rPr>
                <w:b/>
              </w:rPr>
            </w:pPr>
            <w:r>
              <w:rPr>
                <w:b/>
              </w:rPr>
              <w:t>UKUPNO</w:t>
            </w:r>
          </w:p>
        </w:tc>
        <w:tc>
          <w:tcPr>
            <w:tcW w:w="170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351.281,33</w:t>
            </w:r>
          </w:p>
        </w:tc>
        <w:tc>
          <w:tcPr>
            <w:tcW w:w="1691"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2.647.917,81</w:t>
            </w:r>
          </w:p>
        </w:tc>
        <w:tc>
          <w:tcPr>
            <w:tcW w:w="164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610.497,34</w:t>
            </w:r>
          </w:p>
        </w:tc>
        <w:tc>
          <w:tcPr>
            <w:tcW w:w="1091" w:type="dxa"/>
            <w:tcBorders>
              <w:top w:val="single" w:sz="2" w:space="0" w:color="000000"/>
              <w:left w:val="single" w:sz="2" w:space="0" w:color="000000"/>
              <w:bottom w:val="single" w:sz="12" w:space="0" w:color="000000"/>
              <w:right w:val="single" w:sz="12" w:space="0" w:color="000000"/>
            </w:tcBorders>
            <w:vAlign w:val="bottom"/>
          </w:tcPr>
          <w:p>
            <w:pPr>
              <w:pStyle w:val="Sadrajitablice"/>
              <w:jc w:val="right"/>
              <w:rPr/>
            </w:pPr>
            <w:r>
              <w:rPr/>
              <w:t>23,06</w:t>
            </w:r>
          </w:p>
        </w:tc>
      </w:tr>
    </w:tbl>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b/>
          <w:b/>
          <w:bCs/>
        </w:rPr>
      </w:pPr>
      <w:r>
        <w:rPr>
          <w:rFonts w:ascii="Times New Roman" w:hAnsi="Times New Roman"/>
          <w:b/>
          <w:bCs/>
        </w:rPr>
        <w:t>RASHODI PREMA ORGANIZACIJSKOJ KLASIFIKACIJI</w:t>
      </w:r>
    </w:p>
    <w:p>
      <w:pPr>
        <w:pStyle w:val="Normal"/>
        <w:bidi w:val="0"/>
        <w:jc w:val="center"/>
        <w:rPr>
          <w:rFonts w:ascii="Times New Roman" w:hAnsi="Times New Roman"/>
          <w:b/>
          <w:b/>
          <w:bCs/>
        </w:rPr>
      </w:pPr>
      <w:r>
        <w:rPr>
          <w:rFonts w:ascii="Times New Roman" w:hAnsi="Times New Roman"/>
          <w:b/>
          <w:bCs/>
        </w:rPr>
        <w:t>II POSEBNI DIO</w:t>
      </w:r>
    </w:p>
    <w:tbl>
      <w:tblPr>
        <w:tblW w:w="14087" w:type="dxa"/>
        <w:jc w:val="left"/>
        <w:tblInd w:w="28" w:type="dxa"/>
        <w:tblLayout w:type="fixed"/>
        <w:tblCellMar>
          <w:top w:w="28" w:type="dxa"/>
          <w:left w:w="28" w:type="dxa"/>
          <w:bottom w:w="28" w:type="dxa"/>
          <w:right w:w="28" w:type="dxa"/>
        </w:tblCellMar>
      </w:tblPr>
      <w:tblGrid>
        <w:gridCol w:w="896"/>
        <w:gridCol w:w="1721"/>
        <w:gridCol w:w="4901"/>
        <w:gridCol w:w="1796"/>
        <w:gridCol w:w="1751"/>
        <w:gridCol w:w="1661"/>
        <w:gridCol w:w="1361"/>
      </w:tblGrid>
      <w:tr>
        <w:trPr>
          <w:trHeight w:val="581" w:hRule="atLeast"/>
        </w:trPr>
        <w:tc>
          <w:tcPr>
            <w:tcW w:w="896" w:type="dxa"/>
            <w:tcBorders>
              <w:top w:val="single" w:sz="12" w:space="0" w:color="000000"/>
              <w:left w:val="single" w:sz="12" w:space="0" w:color="000000"/>
              <w:bottom w:val="single" w:sz="12" w:space="0" w:color="000000"/>
              <w:right w:val="single" w:sz="2" w:space="0" w:color="000000"/>
            </w:tcBorders>
            <w:vAlign w:val="bottom"/>
          </w:tcPr>
          <w:p>
            <w:pPr>
              <w:pStyle w:val="Sadrajitablice"/>
              <w:jc w:val="center"/>
              <w:rPr>
                <w:b/>
              </w:rPr>
            </w:pPr>
            <w:r>
              <w:rPr>
                <w:b/>
              </w:rPr>
              <w:t xml:space="preserve">Šifra </w:t>
            </w:r>
          </w:p>
        </w:tc>
        <w:tc>
          <w:tcPr>
            <w:tcW w:w="1721"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i/>
              </w:rPr>
            </w:pPr>
            <w:r>
              <w:rPr>
                <w:b/>
                <w:i/>
              </w:rPr>
              <w:t>BROJ RČ</w:t>
            </w:r>
          </w:p>
        </w:tc>
        <w:tc>
          <w:tcPr>
            <w:tcW w:w="4901"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i/>
              </w:rPr>
            </w:pPr>
            <w:r>
              <w:rPr>
                <w:b/>
                <w:i/>
              </w:rPr>
              <w:t>VRSTA RASHODA I IZDATAKA</w:t>
            </w:r>
          </w:p>
        </w:tc>
        <w:tc>
          <w:tcPr>
            <w:tcW w:w="1796"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2024.</w:t>
            </w:r>
          </w:p>
        </w:tc>
        <w:tc>
          <w:tcPr>
            <w:tcW w:w="1751"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NOVI PLAN</w:t>
            </w:r>
          </w:p>
        </w:tc>
        <w:tc>
          <w:tcPr>
            <w:tcW w:w="1661"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IZVRŠENJE I-VI 2025.</w:t>
            </w:r>
          </w:p>
        </w:tc>
        <w:tc>
          <w:tcPr>
            <w:tcW w:w="1361" w:type="dxa"/>
            <w:tcBorders>
              <w:top w:val="single" w:sz="12" w:space="0" w:color="000000"/>
              <w:left w:val="single" w:sz="2" w:space="0" w:color="000000"/>
              <w:bottom w:val="single" w:sz="12" w:space="0" w:color="000000"/>
              <w:right w:val="single" w:sz="12" w:space="0" w:color="000000"/>
            </w:tcBorders>
            <w:vAlign w:val="bottom"/>
          </w:tcPr>
          <w:p>
            <w:pPr>
              <w:pStyle w:val="Sadrajitablice"/>
              <w:jc w:val="center"/>
              <w:rPr>
                <w:b/>
              </w:rPr>
            </w:pPr>
            <w:r>
              <w:rPr>
                <w:b/>
              </w:rPr>
              <w:t>%</w:t>
            </w:r>
          </w:p>
        </w:tc>
      </w:tr>
      <w:tr>
        <w:trPr>
          <w:trHeight w:val="311" w:hRule="atLeast"/>
        </w:trPr>
        <w:tc>
          <w:tcPr>
            <w:tcW w:w="896" w:type="dxa"/>
            <w:tcBorders>
              <w:left w:val="single" w:sz="12" w:space="0" w:color="000000"/>
              <w:bottom w:val="single" w:sz="2" w:space="0" w:color="000000"/>
              <w:right w:val="single" w:sz="2" w:space="0" w:color="000000"/>
            </w:tcBorders>
            <w:tcMar>
              <w:top w:w="0" w:type="dxa"/>
            </w:tcMar>
            <w:vAlign w:val="bottom"/>
          </w:tcPr>
          <w:p>
            <w:pPr>
              <w:pStyle w:val="Sadrajitablice"/>
              <w:rPr>
                <w:b/>
              </w:rPr>
            </w:pPr>
            <w:r>
              <w:rPr>
                <w:b/>
              </w:rPr>
            </w:r>
          </w:p>
        </w:tc>
        <w:tc>
          <w:tcPr>
            <w:tcW w:w="1721" w:type="dxa"/>
            <w:tcBorders>
              <w:left w:val="single" w:sz="2" w:space="0" w:color="000000"/>
              <w:bottom w:val="single" w:sz="2" w:space="0" w:color="000000"/>
              <w:right w:val="single" w:sz="2" w:space="0" w:color="000000"/>
            </w:tcBorders>
            <w:tcMar>
              <w:top w:w="0" w:type="dxa"/>
            </w:tcMar>
            <w:vAlign w:val="bottom"/>
          </w:tcPr>
          <w:p>
            <w:pPr>
              <w:pStyle w:val="Sadrajitablice"/>
              <w:jc w:val="left"/>
              <w:rPr>
                <w:b/>
              </w:rPr>
            </w:pPr>
            <w:r>
              <w:rPr>
                <w:b/>
              </w:rPr>
              <w:t>UKUPNO RASHODI I IZDACI</w:t>
            </w:r>
          </w:p>
        </w:tc>
        <w:tc>
          <w:tcPr>
            <w:tcW w:w="4901" w:type="dxa"/>
            <w:tcBorders>
              <w:left w:val="single" w:sz="2" w:space="0" w:color="000000"/>
              <w:bottom w:val="single" w:sz="2" w:space="0" w:color="000000"/>
              <w:right w:val="single" w:sz="2" w:space="0" w:color="000000"/>
            </w:tcBorders>
            <w:tcMar>
              <w:top w:w="0" w:type="dxa"/>
            </w:tcMar>
            <w:vAlign w:val="bottom"/>
          </w:tcPr>
          <w:p>
            <w:pPr>
              <w:pStyle w:val="Sadrajitablice"/>
              <w:rPr>
                <w:b/>
              </w:rPr>
            </w:pPr>
            <w:r>
              <w:rPr>
                <w:b/>
              </w:rPr>
            </w:r>
          </w:p>
        </w:tc>
        <w:tc>
          <w:tcPr>
            <w:tcW w:w="1796"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351.281,33</w:t>
            </w:r>
          </w:p>
        </w:tc>
        <w:tc>
          <w:tcPr>
            <w:tcW w:w="1751"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2.647.917,81</w:t>
            </w:r>
          </w:p>
        </w:tc>
        <w:tc>
          <w:tcPr>
            <w:tcW w:w="1661"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610.497,34</w:t>
            </w:r>
          </w:p>
        </w:tc>
        <w:tc>
          <w:tcPr>
            <w:tcW w:w="1361" w:type="dxa"/>
            <w:tcBorders>
              <w:left w:val="single" w:sz="2" w:space="0" w:color="000000"/>
              <w:bottom w:val="single" w:sz="2" w:space="0" w:color="000000"/>
              <w:right w:val="single" w:sz="12" w:space="0" w:color="000000"/>
            </w:tcBorders>
            <w:tcMar>
              <w:top w:w="0" w:type="dxa"/>
            </w:tcMar>
            <w:vAlign w:val="bottom"/>
          </w:tcPr>
          <w:p>
            <w:pPr>
              <w:pStyle w:val="Sadrajitablice"/>
              <w:jc w:val="right"/>
              <w:rPr/>
            </w:pPr>
            <w:r>
              <w:rPr/>
              <w:t>23,06</w:t>
            </w:r>
          </w:p>
        </w:tc>
      </w:tr>
      <w:tr>
        <w:trPr>
          <w:trHeight w:val="311" w:hRule="atLeast"/>
        </w:trPr>
        <w:tc>
          <w:tcPr>
            <w:tcW w:w="896"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 xml:space="preserve">RAZDJEL </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001 OPĆINSKO VIJEĆE I OPĆINSKI NAČELNIK I TIJELA SAMOUPRAVE</w:t>
            </w:r>
          </w:p>
        </w:tc>
        <w:tc>
          <w:tcPr>
            <w:tcW w:w="179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351.281,33</w:t>
            </w:r>
          </w:p>
        </w:tc>
        <w:tc>
          <w:tcPr>
            <w:tcW w:w="17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2.647.917,81</w:t>
            </w:r>
          </w:p>
        </w:tc>
        <w:tc>
          <w:tcPr>
            <w:tcW w:w="166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610.497,34</w:t>
            </w:r>
          </w:p>
        </w:tc>
        <w:tc>
          <w:tcPr>
            <w:tcW w:w="136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23,06</w:t>
            </w:r>
          </w:p>
        </w:tc>
      </w:tr>
      <w:tr>
        <w:trPr>
          <w:trHeight w:val="311" w:hRule="atLeast"/>
        </w:trPr>
        <w:tc>
          <w:tcPr>
            <w:tcW w:w="896"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2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Glava 001 01</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Općinsko vijeće</w:t>
            </w:r>
          </w:p>
        </w:tc>
        <w:tc>
          <w:tcPr>
            <w:tcW w:w="1796"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10.311,00</w:t>
            </w:r>
          </w:p>
        </w:tc>
        <w:tc>
          <w:tcPr>
            <w:tcW w:w="175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28.300,00</w:t>
            </w:r>
          </w:p>
        </w:tc>
        <w:tc>
          <w:tcPr>
            <w:tcW w:w="1661"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15.486,76</w:t>
            </w:r>
          </w:p>
        </w:tc>
        <w:tc>
          <w:tcPr>
            <w:tcW w:w="1361"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54,72</w:t>
            </w:r>
          </w:p>
        </w:tc>
      </w:tr>
      <w:tr>
        <w:trPr>
          <w:trHeight w:val="326" w:hRule="atLeast"/>
        </w:trPr>
        <w:tc>
          <w:tcPr>
            <w:tcW w:w="896" w:type="dxa"/>
            <w:tcBorders>
              <w:top w:val="single" w:sz="2" w:space="0" w:color="000000"/>
              <w:left w:val="single" w:sz="12" w:space="0" w:color="000000"/>
              <w:bottom w:val="single" w:sz="12" w:space="0" w:color="000000"/>
              <w:right w:val="single" w:sz="2" w:space="0" w:color="000000"/>
            </w:tcBorders>
            <w:vAlign w:val="bottom"/>
          </w:tcPr>
          <w:p>
            <w:pPr>
              <w:pStyle w:val="Sadrajitablice"/>
              <w:rPr>
                <w:b/>
                <w:i/>
              </w:rPr>
            </w:pPr>
            <w:r>
              <w:rPr>
                <w:b/>
                <w:i/>
              </w:rPr>
            </w:r>
          </w:p>
        </w:tc>
        <w:tc>
          <w:tcPr>
            <w:tcW w:w="1721" w:type="dxa"/>
            <w:tcBorders>
              <w:top w:val="single" w:sz="2" w:space="0" w:color="000000"/>
              <w:left w:val="single" w:sz="2" w:space="0" w:color="000000"/>
              <w:bottom w:val="single" w:sz="12" w:space="0" w:color="000000"/>
              <w:right w:val="single" w:sz="2" w:space="0" w:color="000000"/>
            </w:tcBorders>
            <w:vAlign w:val="bottom"/>
          </w:tcPr>
          <w:p>
            <w:pPr>
              <w:pStyle w:val="Sadrajitablice"/>
              <w:jc w:val="left"/>
              <w:rPr>
                <w:b/>
                <w:i/>
              </w:rPr>
            </w:pPr>
            <w:r>
              <w:rPr>
                <w:b/>
                <w:i/>
              </w:rPr>
              <w:t>Glava 001 02</w:t>
            </w:r>
          </w:p>
        </w:tc>
        <w:tc>
          <w:tcPr>
            <w:tcW w:w="4901" w:type="dxa"/>
            <w:tcBorders>
              <w:top w:val="single" w:sz="2" w:space="0" w:color="000000"/>
              <w:left w:val="single" w:sz="2" w:space="0" w:color="000000"/>
              <w:bottom w:val="single" w:sz="12" w:space="0" w:color="000000"/>
              <w:right w:val="single" w:sz="2" w:space="0" w:color="000000"/>
            </w:tcBorders>
            <w:vAlign w:val="bottom"/>
          </w:tcPr>
          <w:p>
            <w:pPr>
              <w:pStyle w:val="Sadrajitablice"/>
              <w:jc w:val="left"/>
              <w:rPr>
                <w:b/>
                <w:i/>
              </w:rPr>
            </w:pPr>
            <w:r>
              <w:rPr>
                <w:b/>
                <w:i/>
              </w:rPr>
              <w:t>Jedinstveni upravni odjel</w:t>
            </w:r>
          </w:p>
        </w:tc>
        <w:tc>
          <w:tcPr>
            <w:tcW w:w="1796"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340.970,33</w:t>
            </w:r>
          </w:p>
        </w:tc>
        <w:tc>
          <w:tcPr>
            <w:tcW w:w="1751"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b/>
              </w:rPr>
            </w:pPr>
            <w:r>
              <w:rPr>
                <w:b/>
              </w:rPr>
              <w:t>2.619.617,81</w:t>
            </w:r>
          </w:p>
        </w:tc>
        <w:tc>
          <w:tcPr>
            <w:tcW w:w="1661"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pPr>
            <w:r>
              <w:rPr/>
              <w:t>595.010,58</w:t>
            </w:r>
          </w:p>
        </w:tc>
        <w:tc>
          <w:tcPr>
            <w:tcW w:w="1361" w:type="dxa"/>
            <w:tcBorders>
              <w:top w:val="single" w:sz="2" w:space="0" w:color="000000"/>
              <w:left w:val="single" w:sz="2" w:space="0" w:color="000000"/>
              <w:bottom w:val="single" w:sz="12" w:space="0" w:color="000000"/>
              <w:right w:val="single" w:sz="12" w:space="0" w:color="000000"/>
            </w:tcBorders>
            <w:vAlign w:val="bottom"/>
          </w:tcPr>
          <w:p>
            <w:pPr>
              <w:pStyle w:val="Sadrajitablice"/>
              <w:jc w:val="right"/>
              <w:rPr/>
            </w:pPr>
            <w:r>
              <w:rPr/>
              <w:t>22,71</w:t>
            </w:r>
          </w:p>
        </w:tc>
      </w:tr>
    </w:tbl>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b/>
          <w:b/>
          <w:bCs/>
        </w:rPr>
      </w:pPr>
      <w:r>
        <w:rPr>
          <w:rFonts w:ascii="Times New Roman" w:hAnsi="Times New Roman"/>
          <w:b/>
          <w:bCs/>
        </w:rPr>
        <w:t>RASHODI</w:t>
      </w:r>
    </w:p>
    <w:p>
      <w:pPr>
        <w:pStyle w:val="Normal"/>
        <w:bidi w:val="0"/>
        <w:jc w:val="center"/>
        <w:rPr>
          <w:rFonts w:ascii="Times New Roman" w:hAnsi="Times New Roman"/>
        </w:rPr>
      </w:pPr>
      <w:r>
        <w:rPr>
          <w:rFonts w:ascii="Times New Roman" w:hAnsi="Times New Roman"/>
          <w:b/>
          <w:bCs/>
        </w:rPr>
        <w:t>II POSEBNI DIO</w:t>
      </w:r>
    </w:p>
    <w:tbl>
      <w:tblPr>
        <w:tblW w:w="14570" w:type="dxa"/>
        <w:jc w:val="left"/>
        <w:tblInd w:w="28" w:type="dxa"/>
        <w:tblLayout w:type="fixed"/>
        <w:tblCellMar>
          <w:top w:w="28" w:type="dxa"/>
          <w:left w:w="28" w:type="dxa"/>
          <w:bottom w:w="28" w:type="dxa"/>
          <w:right w:w="28" w:type="dxa"/>
        </w:tblCellMar>
      </w:tblPr>
      <w:tblGrid>
        <w:gridCol w:w="888"/>
        <w:gridCol w:w="1718"/>
        <w:gridCol w:w="5192"/>
        <w:gridCol w:w="1767"/>
        <w:gridCol w:w="2133"/>
        <w:gridCol w:w="1707"/>
        <w:gridCol w:w="1165"/>
      </w:tblGrid>
      <w:tr>
        <w:trPr>
          <w:trHeight w:val="581" w:hRule="atLeast"/>
        </w:trPr>
        <w:tc>
          <w:tcPr>
            <w:tcW w:w="888" w:type="dxa"/>
            <w:tcBorders>
              <w:top w:val="single" w:sz="12" w:space="0" w:color="000000"/>
              <w:left w:val="single" w:sz="12" w:space="0" w:color="000000"/>
              <w:bottom w:val="single" w:sz="12" w:space="0" w:color="000000"/>
              <w:right w:val="single" w:sz="2" w:space="0" w:color="000000"/>
            </w:tcBorders>
            <w:vAlign w:val="bottom"/>
          </w:tcPr>
          <w:p>
            <w:pPr>
              <w:pStyle w:val="Sadrajitablice"/>
              <w:jc w:val="center"/>
              <w:rPr>
                <w:b/>
              </w:rPr>
            </w:pPr>
            <w:r>
              <w:rPr>
                <w:b/>
              </w:rPr>
              <w:t xml:space="preserve">Šifra </w:t>
            </w:r>
          </w:p>
        </w:tc>
        <w:tc>
          <w:tcPr>
            <w:tcW w:w="1718"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i/>
              </w:rPr>
            </w:pPr>
            <w:r>
              <w:rPr>
                <w:b/>
                <w:i/>
              </w:rPr>
              <w:t>BROJ RČ</w:t>
            </w:r>
          </w:p>
        </w:tc>
        <w:tc>
          <w:tcPr>
            <w:tcW w:w="5192"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i/>
              </w:rPr>
            </w:pPr>
            <w:r>
              <w:rPr>
                <w:b/>
                <w:i/>
              </w:rPr>
              <w:t>VRSTA RASHODA I IZDATAKA</w:t>
            </w:r>
          </w:p>
        </w:tc>
        <w:tc>
          <w:tcPr>
            <w:tcW w:w="1767"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2024.</w:t>
            </w:r>
          </w:p>
        </w:tc>
        <w:tc>
          <w:tcPr>
            <w:tcW w:w="2133" w:type="dxa"/>
            <w:tcBorders>
              <w:top w:val="single" w:sz="12" w:space="0" w:color="000000"/>
              <w:left w:val="single" w:sz="2" w:space="0" w:color="000000"/>
              <w:bottom w:val="single" w:sz="12" w:space="0" w:color="000000"/>
              <w:right w:val="single" w:sz="2" w:space="0" w:color="000000"/>
            </w:tcBorders>
            <w:vAlign w:val="bottom"/>
          </w:tcPr>
          <w:p>
            <w:pPr>
              <w:pStyle w:val="Sadrajitablice"/>
              <w:jc w:val="center"/>
              <w:rPr>
                <w:b/>
              </w:rPr>
            </w:pPr>
            <w:r>
              <w:rPr>
                <w:b/>
              </w:rPr>
              <w:t>NOVI PLAN</w:t>
            </w:r>
          </w:p>
        </w:tc>
        <w:tc>
          <w:tcPr>
            <w:tcW w:w="1707" w:type="dxa"/>
            <w:tcBorders>
              <w:top w:val="single" w:sz="12" w:space="0" w:color="000000"/>
              <w:left w:val="single" w:sz="2" w:space="0" w:color="000000"/>
              <w:bottom w:val="single" w:sz="12" w:space="0" w:color="000000"/>
              <w:right w:val="single" w:sz="2" w:space="0" w:color="000000"/>
            </w:tcBorders>
            <w:vAlign w:val="bottom"/>
          </w:tcPr>
          <w:p>
            <w:pPr>
              <w:pStyle w:val="Sadrajitablice"/>
              <w:jc w:val="left"/>
              <w:rPr>
                <w:b/>
              </w:rPr>
            </w:pPr>
            <w:r>
              <w:rPr>
                <w:b/>
              </w:rPr>
              <w:t>IZVRŠENJE I-VI</w:t>
            </w:r>
          </w:p>
        </w:tc>
        <w:tc>
          <w:tcPr>
            <w:tcW w:w="1165" w:type="dxa"/>
            <w:tcBorders>
              <w:top w:val="single" w:sz="12" w:space="0" w:color="000000"/>
              <w:left w:val="single" w:sz="2" w:space="0" w:color="000000"/>
              <w:bottom w:val="single" w:sz="12" w:space="0" w:color="000000"/>
              <w:right w:val="single" w:sz="12" w:space="0" w:color="000000"/>
            </w:tcBorders>
            <w:vAlign w:val="bottom"/>
          </w:tcPr>
          <w:p>
            <w:pPr>
              <w:pStyle w:val="Sadrajitablice"/>
              <w:jc w:val="center"/>
              <w:rPr>
                <w:b/>
              </w:rPr>
            </w:pPr>
            <w:r>
              <w:rPr>
                <w:b/>
              </w:rPr>
              <w:t>%</w:t>
            </w:r>
          </w:p>
        </w:tc>
      </w:tr>
      <w:tr>
        <w:trPr>
          <w:trHeight w:val="311" w:hRule="atLeast"/>
        </w:trPr>
        <w:tc>
          <w:tcPr>
            <w:tcW w:w="888" w:type="dxa"/>
            <w:tcBorders>
              <w:left w:val="single" w:sz="12" w:space="0" w:color="000000"/>
              <w:bottom w:val="single" w:sz="2" w:space="0" w:color="000000"/>
              <w:right w:val="single" w:sz="2" w:space="0" w:color="000000"/>
            </w:tcBorders>
            <w:tcMar>
              <w:top w:w="0" w:type="dxa"/>
            </w:tcMar>
            <w:vAlign w:val="bottom"/>
          </w:tcPr>
          <w:p>
            <w:pPr>
              <w:pStyle w:val="Sadrajitablice"/>
              <w:rPr/>
            </w:pPr>
            <w:r>
              <w:rPr/>
            </w:r>
          </w:p>
        </w:tc>
        <w:tc>
          <w:tcPr>
            <w:tcW w:w="1718" w:type="dxa"/>
            <w:tcBorders>
              <w:left w:val="single" w:sz="2" w:space="0" w:color="000000"/>
              <w:bottom w:val="single" w:sz="2" w:space="0" w:color="000000"/>
              <w:right w:val="single" w:sz="2" w:space="0" w:color="000000"/>
            </w:tcBorders>
            <w:tcMar>
              <w:top w:w="0" w:type="dxa"/>
            </w:tcMar>
            <w:vAlign w:val="bottom"/>
          </w:tcPr>
          <w:p>
            <w:pPr>
              <w:pStyle w:val="Sadrajitablice"/>
              <w:jc w:val="left"/>
              <w:rPr>
                <w:b/>
              </w:rPr>
            </w:pPr>
            <w:r>
              <w:rPr>
                <w:b/>
              </w:rPr>
              <w:t>UKUPNO RASHODI I IZDACI</w:t>
            </w:r>
          </w:p>
        </w:tc>
        <w:tc>
          <w:tcPr>
            <w:tcW w:w="5192" w:type="dxa"/>
            <w:tcBorders>
              <w:left w:val="single" w:sz="2" w:space="0" w:color="000000"/>
              <w:bottom w:val="single" w:sz="2" w:space="0" w:color="000000"/>
              <w:right w:val="single" w:sz="2" w:space="0" w:color="000000"/>
            </w:tcBorders>
            <w:tcMar>
              <w:top w:w="0" w:type="dxa"/>
            </w:tcMar>
            <w:vAlign w:val="bottom"/>
          </w:tcPr>
          <w:p>
            <w:pPr>
              <w:pStyle w:val="Sadrajitablice"/>
              <w:rPr>
                <w:b/>
              </w:rPr>
            </w:pPr>
            <w:r>
              <w:rPr>
                <w:b/>
              </w:rPr>
            </w:r>
          </w:p>
        </w:tc>
        <w:tc>
          <w:tcPr>
            <w:tcW w:w="1767"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351.281,33</w:t>
            </w:r>
          </w:p>
        </w:tc>
        <w:tc>
          <w:tcPr>
            <w:tcW w:w="2133"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2.647.917,81</w:t>
            </w:r>
          </w:p>
        </w:tc>
        <w:tc>
          <w:tcPr>
            <w:tcW w:w="1707" w:type="dxa"/>
            <w:tcBorders>
              <w:left w:val="single" w:sz="2" w:space="0" w:color="000000"/>
              <w:bottom w:val="single" w:sz="2" w:space="0" w:color="000000"/>
              <w:right w:val="single" w:sz="2" w:space="0" w:color="000000"/>
            </w:tcBorders>
            <w:tcMar>
              <w:top w:w="0" w:type="dxa"/>
            </w:tcMar>
            <w:vAlign w:val="bottom"/>
          </w:tcPr>
          <w:p>
            <w:pPr>
              <w:pStyle w:val="Sadrajitablice"/>
              <w:jc w:val="right"/>
              <w:rPr>
                <w:b/>
              </w:rPr>
            </w:pPr>
            <w:r>
              <w:rPr>
                <w:b/>
              </w:rPr>
              <w:t>610.497,34</w:t>
            </w:r>
          </w:p>
        </w:tc>
        <w:tc>
          <w:tcPr>
            <w:tcW w:w="1165" w:type="dxa"/>
            <w:tcBorders>
              <w:left w:val="single" w:sz="2" w:space="0" w:color="000000"/>
              <w:bottom w:val="single" w:sz="2" w:space="0" w:color="000000"/>
              <w:right w:val="single" w:sz="12" w:space="0" w:color="000000"/>
            </w:tcBorders>
            <w:tcMar>
              <w:top w:w="0" w:type="dxa"/>
            </w:tcMar>
            <w:vAlign w:val="bottom"/>
          </w:tcPr>
          <w:p>
            <w:pPr>
              <w:pStyle w:val="Sadrajitablice"/>
              <w:jc w:val="right"/>
              <w:rPr/>
            </w:pPr>
            <w:r>
              <w:rPr/>
              <w:t>23,06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 xml:space="preserve">RAZDJEL </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001 OPĆINSKO VIJEĆE I OPĆINSKI NAČELNIK I TIJELA SAMOUPRAVE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351.281,33</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2.647.917,81</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610.497,34</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23,06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Glava 001 01</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Općinsko vijeće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10.311,00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28.300,00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b/>
              </w:rPr>
            </w:pPr>
            <w:r>
              <w:rPr>
                <w:b/>
              </w:rPr>
              <w:t>15.486,76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54,72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01: Donošenje akata i mjera iz djelokruga predstavničkog, izvršnog tijela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b/>
                <w:i/>
              </w:rPr>
            </w:pPr>
            <w:r>
              <w:rPr>
                <w:b/>
                <w:i/>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10.311,00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28.300,00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15.486,76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54,72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A1001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Redovni rad Općinskog vijeća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6.186,00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12.486,76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55,99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0111 Izvršna i zakonodavna tijela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6.186,00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12.486,76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55,99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6.186,00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12.486,76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55,99</w:t>
            </w:r>
          </w:p>
        </w:tc>
      </w:tr>
      <w:tr>
        <w:trPr>
          <w:trHeight w:val="326"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32</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Materijalni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6.186,00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12.486,76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55,99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A1001 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Potpora radu političkih stranaka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4.125,00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0111 Izvršna i zakonodavna tijela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4.125,00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4.125,00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Donacije i 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4.125,00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Glava 001 03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Jedinstveni upravni odjel</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340.970,33</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2.619.617,81</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595.010,58</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22,71</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02:</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Donošenje i provedba akata i mjera iz djelokruga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133.220,92</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425.244,00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222.038,97</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52,21</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A1002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Administrativno, tehničko i stručno osoblje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129.212,30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378.314,00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179.774,19</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47,52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0111 Izvršna i zakonodavna tijela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129.212,30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378.314,00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179.774,19</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47,52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129.212,30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378.314,00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179.774,19</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47,52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31</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zaposlene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58.557,98</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141.300,00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74.156,79</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52,48</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32</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Materijalni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70.654,32</w:t>
            </w:r>
          </w:p>
        </w:tc>
        <w:tc>
          <w:tcPr>
            <w:tcW w:w="2133" w:type="dxa"/>
            <w:tcBorders>
              <w:top w:val="single" w:sz="2" w:space="0" w:color="000000"/>
              <w:left w:val="single" w:sz="2" w:space="0" w:color="000000"/>
              <w:bottom w:val="single" w:sz="2" w:space="0" w:color="000000"/>
              <w:right w:val="single" w:sz="2" w:space="0" w:color="000000"/>
            </w:tcBorders>
            <w:shd w:fill="FFFFFF" w:val="clear"/>
            <w:vAlign w:val="bottom"/>
          </w:tcPr>
          <w:p>
            <w:pPr>
              <w:pStyle w:val="Sadrajitablice"/>
              <w:jc w:val="right"/>
              <w:rPr/>
            </w:pPr>
            <w:r>
              <w:rPr/>
              <w:t>237.014,00</w:t>
            </w:r>
          </w:p>
        </w:tc>
        <w:tc>
          <w:tcPr>
            <w:tcW w:w="1707" w:type="dxa"/>
            <w:tcBorders>
              <w:top w:val="single" w:sz="2" w:space="0" w:color="000000"/>
              <w:left w:val="single" w:sz="2" w:space="0" w:color="000000"/>
              <w:bottom w:val="single" w:sz="2" w:space="0" w:color="000000"/>
              <w:right w:val="single" w:sz="2" w:space="0" w:color="000000"/>
            </w:tcBorders>
            <w:shd w:fill="FFFFFF" w:val="clear"/>
            <w:vAlign w:val="bottom"/>
          </w:tcPr>
          <w:p>
            <w:pPr>
              <w:pStyle w:val="Sadrajitablice"/>
              <w:jc w:val="right"/>
              <w:rPr/>
            </w:pPr>
            <w:r>
              <w:rPr/>
              <w:t>105.617,40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44,56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A1002 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Bankarske usluge i usluge platnog prometa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2.208,62</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4.930,00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2.852,80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57,87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0111 Izvršna i zakonodavna tijela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2.208,62</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4.930,00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2.852,80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57,87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2.208,62</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4.930,00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2.852,80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57,87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34</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Financijski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2.208,62</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4.930,00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2.852,80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57,87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K1002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Kapitalni projekt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Nabava dugotrajne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39.411,98</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93,84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0111 Izvršna i zakonodavna tijela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39.411,98</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93,84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nabavu nefinancijske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39.411,98</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93,84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42</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nabavu proizvedene dugotrajne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39.411,98</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93,84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 1003</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Program 03: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Protupožarna i civilna zaštita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7.980,00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7.313,61</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91,65</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A1003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Protupožarna zaštita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100,00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0320 Usluge protupožarne zaštite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100,00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100,00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Donacije i 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100,00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A1003 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Civilna zaštita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1.330,00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663,61</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49,90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organizacija: 0360 Rashodi za javni red i sigurnost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1.330,00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663,61</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49,90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1.330,00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663,61</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49,90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Donacije i 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1.330,00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663,61</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49,90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P1004</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Program 04:</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Javne potrebe u obrazovanju općine Negoslavci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20.871,87</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52.850,00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25.124,75</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47,54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A1004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Predškola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12.476,69</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37.550,00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15.771,62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42,00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0912 Predškolsko obrazovanje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12.476,69</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37.550,00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15.771,62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42,00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12.476,69</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37.550,00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15.771,62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42,00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37</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Naknade građanima i kućanstvima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11.126,69</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26.050,00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15.771,62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60,54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A1004 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Sufinan.javnog prijevoza srednješk.učenika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1.035,30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2.978,63</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90,26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kklasifikacija: 092 Srednješkolsko obrazovanje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1.035,30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2.978,63</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90,26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1.035,30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2.978,63</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90,26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37</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Naknade građanima i kućanstvima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1.035,30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2.978,63</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90,26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A1004 03</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Osnovno školstvo</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7.359,88</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6.374,50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53,12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0913 Osnovnoškolsko obrazovanje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7.359,88</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6.374,50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53,12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7.359,88</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6.374,50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53,12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36</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7.359,88</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8.500,00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6.374,50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74,99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37</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Naknade građanima i kućanstvima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P1005</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Program 05:</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Održavanje objekat i uređaja kom. infrastrukture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25.047,00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777.828,81</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114.787,37</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14,76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K1005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Održavanje komunalne infrastrukture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25.047,00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638.828,81</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114.787,37</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17,97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0660 Rashodi vezani uz stan.i kom.po</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25.047,00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638.828,81</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114.787,37</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17,97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nabavu nefinancijske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25.047,00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638.828,81</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114.787,37</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17,97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45</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dodatna ulaganja na nefinacijskoj imovini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25.047,00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638.828,81</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114.787,37</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17,97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K1005 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Kapitalni projekt: Obnova centra općine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42,10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0660 Rashodi vezani uz stan.i kom. Pogod.</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nabavu nefinancijske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42</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Rahodi za nabavu proizdene dugotrajne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132.000,00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A1005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Materijal i dijelovi za održavanje javne rasvjete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42,10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0640 Ulična rasvjeta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42,10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42,10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32</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Materijalni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42,10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P1006</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Program 06:</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Izgradnja objekata i urđ. Komunalne infrastr.i opremanje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807.000,00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K1006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Kapitalni projekt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Izgradnja plinovoda, vodovoda i kanla.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804.000,00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0660 Rashodi vezani uz stan.i kom.po</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804.000,00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nabavu nefinancijske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804.000,00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58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42</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Rahodi za nabavu proizdene dugotrajne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804.000,00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K1006 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Kapitalni projekt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Opremanje komunalnom opremom</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0660 Rashodi vezani uz stan.i kom.po</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nabavu nefinancijske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42</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Rahodi za nabavu proizdene dugotrajne imovine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 xml:space="preserve">P1007 </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07</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javnih potreba u so. skrbi općine Neg.</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22.422,75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41.150,00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19.454,32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47,28</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pPr>
            <w:r>
              <w:rPr/>
              <w:t>A1007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Pomoć u novcu pojedincima i obiteljima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22.422,75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36.000,00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19.454,32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54,04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Funkcijska klasifikacija: 1070 - Socijalna pomoć stanovništvu …</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b/>
                <w:i/>
              </w:rPr>
            </w:pPr>
            <w:r>
              <w:rPr>
                <w:b/>
                <w:i/>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22.422,75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36.000,00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19.454,32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54,04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22.422,75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36.000,00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19.454,32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54,04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37</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Naknade građanima i kućanstvima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22.422,75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36.000,00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19.454,32</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54,04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A1007 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Pomoć u novcu pojedincima i obit. - đaci i paketići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3.850,00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Funkcijska klasifikacija: 1070 - Socijalna pomoć stanovništvu …</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b/>
                <w:i/>
              </w:rPr>
            </w:pPr>
            <w:r>
              <w:rPr>
                <w:b/>
                <w:i/>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3.850,00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3.850,00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37</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Naknade građanima i kućanstvima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3.850,00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A1007 03</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Crveni križ</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1070 - Socijalna pomoć stanovništvu …</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P1008</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08: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javnih potreba u kulturi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21.921,00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65.665,00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12.700,00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19,34</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pPr>
            <w:r>
              <w:rPr/>
              <w:t>A1008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Vjerske zajednice - pomoć u radu</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2,99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Funkcijska klasifikacija: 0840 Religijske i druge službe zajednice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b/>
                <w:i/>
              </w:rPr>
            </w:pPr>
            <w:r>
              <w:rPr>
                <w:b/>
                <w:i/>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2,99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2,99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700,00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2,99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pPr>
            <w:r>
              <w:rPr/>
              <w:t>A1008 02</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Djelatnost kulturno-umjetničkih društava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25,00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0820 - Službe kulture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25,00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25,00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1.250,00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25,00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pPr>
            <w:r>
              <w:rPr/>
              <w:t>A1008 03</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Kulturne manifestacije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0820 - Službe kulture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pPr>
            <w:r>
              <w:rPr/>
              <w:t>A1008 04</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Zajedničko veće općina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1.325,00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0820 - Službe kulture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1.325,00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1.325,00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1.325,00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pPr>
            <w:r>
              <w:rPr/>
              <w:t>A1008 05</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 xml:space="preserve">Udruge </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18.346,00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37.765,00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11.300,00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29,92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0820 - Službe kulture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18.346,00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37.765,00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11.300,00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29,92</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18.346,00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37.765,00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11.300,00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29,92</w:t>
            </w:r>
          </w:p>
        </w:tc>
      </w:tr>
      <w:tr>
        <w:trPr>
          <w:trHeight w:val="296"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36</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Tekuće pomoći proračunima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18.346,00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36.265,00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11.300,00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31,16</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P1009</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09:</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Javne potrebe u športu</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41.150,00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47.350,00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68,23</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pPr>
            <w:r>
              <w:rPr/>
              <w:t>A1009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Tekuće donacije sportskim udrugama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41.150,00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47.350,00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68,23</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Funkcijska klasifikacija: 0810 Službe rekreacije i sporta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b/>
                <w:i/>
              </w:rPr>
            </w:pPr>
            <w:r>
              <w:rPr>
                <w:b/>
                <w:i/>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41.150,00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47.350,00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68,23</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41.150,00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47.350,00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68,23</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41.150,00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69.400,00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47.350,00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68,23</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P1010</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10:</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Demografske mjere Općine Negoslavci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6.480,04</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4,67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i/>
              </w:rPr>
            </w:pPr>
            <w:r>
              <w:rPr>
                <w:i/>
              </w:rPr>
              <w:t>A1010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Aktivnost:</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Demografske mjere Općine Negoslavci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6.480,04</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4,67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0620 Razvoj zajednice</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6.480,04</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4,67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6.480,04</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30.000,00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4,67</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37</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Naknade građanima i kućanstvima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2.800,00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20.000,00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1.400,00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7,00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i/>
              </w:rPr>
            </w:pPr>
            <w:r>
              <w:rPr>
                <w:i/>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38</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Ostali rashodi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3.680,04</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10.000,00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0,00</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0,00</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b/>
                <w:i/>
              </w:rPr>
            </w:pPr>
            <w:r>
              <w:rPr>
                <w:b/>
                <w:i/>
              </w:rPr>
              <w:t>P1011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11:</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i/>
              </w:rPr>
            </w:pPr>
            <w:r>
              <w:rPr>
                <w:b/>
                <w:i/>
              </w:rPr>
              <w:t>Program "Zaželi"</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69.414,65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342.500,00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144.841,56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42,29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jc w:val="left"/>
              <w:rPr/>
            </w:pPr>
            <w:r>
              <w:rPr/>
              <w:t>A1011 01</w:t>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 xml:space="preserve">Aktinost: </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Administrativno, tehničko i stručno osoblje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69.414,65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342.500,00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144.841,56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42,29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pPr>
            <w:r>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pPr>
            <w:r>
              <w:rPr/>
              <w:t>Funkcijska klasifikacija: 0111 Izvršna i zakonodavna tijela</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rPr/>
            </w:pPr>
            <w:r>
              <w:rPr/>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69.414,65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342.500,00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144.841,56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42,29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poslovanja</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6.914,65</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342.500,00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144.841,56</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42,29</w:t>
            </w:r>
          </w:p>
        </w:tc>
      </w:tr>
      <w:tr>
        <w:trPr>
          <w:trHeight w:val="311" w:hRule="atLeast"/>
        </w:trPr>
        <w:tc>
          <w:tcPr>
            <w:tcW w:w="888" w:type="dxa"/>
            <w:tcBorders>
              <w:top w:val="single" w:sz="2" w:space="0" w:color="000000"/>
              <w:left w:val="single" w:sz="12" w:space="0" w:color="000000"/>
              <w:bottom w:val="single" w:sz="2" w:space="0" w:color="000000"/>
              <w:right w:val="single" w:sz="2" w:space="0" w:color="000000"/>
            </w:tcBorders>
            <w:vAlign w:val="bottom"/>
          </w:tcPr>
          <w:p>
            <w:pPr>
              <w:pStyle w:val="Sadrajitablice"/>
              <w:rPr>
                <w:b/>
              </w:rPr>
            </w:pPr>
            <w:r>
              <w:rPr>
                <w:b/>
              </w:rPr>
            </w:r>
          </w:p>
        </w:tc>
        <w:tc>
          <w:tcPr>
            <w:tcW w:w="1718"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31</w:t>
            </w:r>
          </w:p>
        </w:tc>
        <w:tc>
          <w:tcPr>
            <w:tcW w:w="5192" w:type="dxa"/>
            <w:tcBorders>
              <w:top w:val="single" w:sz="2" w:space="0" w:color="000000"/>
              <w:left w:val="single" w:sz="2" w:space="0" w:color="000000"/>
              <w:bottom w:val="single" w:sz="2" w:space="0" w:color="000000"/>
              <w:right w:val="single" w:sz="2" w:space="0" w:color="000000"/>
            </w:tcBorders>
            <w:vAlign w:val="bottom"/>
          </w:tcPr>
          <w:p>
            <w:pPr>
              <w:pStyle w:val="Sadrajitablice"/>
              <w:jc w:val="left"/>
              <w:rPr>
                <w:b/>
              </w:rPr>
            </w:pPr>
            <w:r>
              <w:rPr>
                <w:b/>
              </w:rPr>
              <w:t>Rashodi za zaposlene</w:t>
            </w:r>
          </w:p>
        </w:tc>
        <w:tc>
          <w:tcPr>
            <w:tcW w:w="176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58.225,40</w:t>
            </w:r>
          </w:p>
        </w:tc>
        <w:tc>
          <w:tcPr>
            <w:tcW w:w="2133"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235.500,00</w:t>
            </w:r>
          </w:p>
        </w:tc>
        <w:tc>
          <w:tcPr>
            <w:tcW w:w="1707" w:type="dxa"/>
            <w:tcBorders>
              <w:top w:val="single" w:sz="2" w:space="0" w:color="000000"/>
              <w:left w:val="single" w:sz="2" w:space="0" w:color="000000"/>
              <w:bottom w:val="single" w:sz="2" w:space="0" w:color="000000"/>
              <w:right w:val="single" w:sz="2" w:space="0" w:color="000000"/>
            </w:tcBorders>
            <w:vAlign w:val="bottom"/>
          </w:tcPr>
          <w:p>
            <w:pPr>
              <w:pStyle w:val="Sadrajitablice"/>
              <w:jc w:val="right"/>
              <w:rPr/>
            </w:pPr>
            <w:r>
              <w:rPr/>
              <w:t>139.490,07</w:t>
            </w:r>
          </w:p>
        </w:tc>
        <w:tc>
          <w:tcPr>
            <w:tcW w:w="1165" w:type="dxa"/>
            <w:tcBorders>
              <w:top w:val="single" w:sz="2" w:space="0" w:color="000000"/>
              <w:left w:val="single" w:sz="2" w:space="0" w:color="000000"/>
              <w:bottom w:val="single" w:sz="2" w:space="0" w:color="000000"/>
              <w:right w:val="single" w:sz="12" w:space="0" w:color="000000"/>
            </w:tcBorders>
            <w:vAlign w:val="bottom"/>
          </w:tcPr>
          <w:p>
            <w:pPr>
              <w:pStyle w:val="Sadrajitablice"/>
              <w:jc w:val="right"/>
              <w:rPr/>
            </w:pPr>
            <w:r>
              <w:rPr/>
              <w:t>59,23</w:t>
            </w:r>
          </w:p>
        </w:tc>
      </w:tr>
      <w:tr>
        <w:trPr>
          <w:trHeight w:val="326" w:hRule="atLeast"/>
        </w:trPr>
        <w:tc>
          <w:tcPr>
            <w:tcW w:w="888" w:type="dxa"/>
            <w:tcBorders>
              <w:top w:val="single" w:sz="2" w:space="0" w:color="000000"/>
              <w:left w:val="single" w:sz="12" w:space="0" w:color="000000"/>
              <w:bottom w:val="single" w:sz="12" w:space="0" w:color="000000"/>
              <w:right w:val="single" w:sz="2" w:space="0" w:color="000000"/>
            </w:tcBorders>
            <w:vAlign w:val="bottom"/>
          </w:tcPr>
          <w:p>
            <w:pPr>
              <w:pStyle w:val="Sadrajitablice"/>
              <w:rPr>
                <w:b/>
                <w:i/>
              </w:rPr>
            </w:pPr>
            <w:r>
              <w:rPr>
                <w:b/>
                <w:i/>
              </w:rPr>
            </w:r>
          </w:p>
        </w:tc>
        <w:tc>
          <w:tcPr>
            <w:tcW w:w="1718" w:type="dxa"/>
            <w:tcBorders>
              <w:top w:val="single" w:sz="2" w:space="0" w:color="000000"/>
              <w:left w:val="single" w:sz="2" w:space="0" w:color="000000"/>
              <w:bottom w:val="single" w:sz="12" w:space="0" w:color="000000"/>
              <w:right w:val="single" w:sz="2" w:space="0" w:color="000000"/>
            </w:tcBorders>
            <w:vAlign w:val="bottom"/>
          </w:tcPr>
          <w:p>
            <w:pPr>
              <w:pStyle w:val="Sadrajitablice"/>
              <w:jc w:val="left"/>
              <w:rPr>
                <w:b/>
              </w:rPr>
            </w:pPr>
            <w:r>
              <w:rPr>
                <w:b/>
              </w:rPr>
              <w:t>32</w:t>
            </w:r>
          </w:p>
        </w:tc>
        <w:tc>
          <w:tcPr>
            <w:tcW w:w="5192" w:type="dxa"/>
            <w:tcBorders>
              <w:top w:val="single" w:sz="2" w:space="0" w:color="000000"/>
              <w:left w:val="single" w:sz="2" w:space="0" w:color="000000"/>
              <w:bottom w:val="single" w:sz="12" w:space="0" w:color="000000"/>
              <w:right w:val="single" w:sz="2" w:space="0" w:color="000000"/>
            </w:tcBorders>
            <w:vAlign w:val="bottom"/>
          </w:tcPr>
          <w:p>
            <w:pPr>
              <w:pStyle w:val="Sadrajitablice"/>
              <w:jc w:val="left"/>
              <w:rPr>
                <w:b/>
              </w:rPr>
            </w:pPr>
            <w:r>
              <w:rPr>
                <w:b/>
              </w:rPr>
              <w:t>Materijalni rashodi</w:t>
            </w:r>
          </w:p>
        </w:tc>
        <w:tc>
          <w:tcPr>
            <w:tcW w:w="1767"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pPr>
            <w:r>
              <w:rPr/>
              <w:t>11.189,25</w:t>
            </w:r>
          </w:p>
        </w:tc>
        <w:tc>
          <w:tcPr>
            <w:tcW w:w="2133"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pPr>
            <w:r>
              <w:rPr/>
              <w:t>107.000,00</w:t>
            </w:r>
          </w:p>
        </w:tc>
        <w:tc>
          <w:tcPr>
            <w:tcW w:w="1707" w:type="dxa"/>
            <w:tcBorders>
              <w:top w:val="single" w:sz="2" w:space="0" w:color="000000"/>
              <w:left w:val="single" w:sz="2" w:space="0" w:color="000000"/>
              <w:bottom w:val="single" w:sz="12" w:space="0" w:color="000000"/>
              <w:right w:val="single" w:sz="2" w:space="0" w:color="000000"/>
            </w:tcBorders>
            <w:vAlign w:val="bottom"/>
          </w:tcPr>
          <w:p>
            <w:pPr>
              <w:pStyle w:val="Sadrajitablice"/>
              <w:jc w:val="right"/>
              <w:rPr/>
            </w:pPr>
            <w:r>
              <w:rPr/>
              <w:t>5.351,49</w:t>
            </w:r>
          </w:p>
        </w:tc>
        <w:tc>
          <w:tcPr>
            <w:tcW w:w="1165" w:type="dxa"/>
            <w:tcBorders>
              <w:top w:val="single" w:sz="2" w:space="0" w:color="000000"/>
              <w:left w:val="single" w:sz="2" w:space="0" w:color="000000"/>
              <w:bottom w:val="single" w:sz="12" w:space="0" w:color="000000"/>
              <w:right w:val="single" w:sz="12" w:space="0" w:color="000000"/>
            </w:tcBorders>
            <w:vAlign w:val="bottom"/>
          </w:tcPr>
          <w:p>
            <w:pPr>
              <w:pStyle w:val="Sadrajitablice"/>
              <w:jc w:val="right"/>
              <w:rPr/>
            </w:pPr>
            <w:r>
              <w:rPr/>
              <w:t>5,00</w:t>
            </w:r>
          </w:p>
        </w:tc>
      </w:tr>
    </w:tbl>
    <w:p>
      <w:pPr>
        <w:pStyle w:val="Normal"/>
        <w:bidi w:val="0"/>
        <w:jc w:val="center"/>
        <w:rPr>
          <w:rFonts w:ascii="Times New Roman" w:hAnsi="Times New Roman"/>
        </w:rPr>
      </w:pPr>
      <w:r>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b/>
          <w:lang w:val="hr-HR"/>
        </w:rPr>
        <w:t>PREDSJEDNIK OPĆINSKOG VIJEĆA:</w:t>
      </w:r>
    </w:p>
    <w:p>
      <w:pPr>
        <w:pStyle w:val="Normal"/>
        <w:bidi w:val="0"/>
        <w:jc w:val="center"/>
        <w:rPr>
          <w:rFonts w:ascii="Times New Roman" w:hAnsi="Times New Roman"/>
        </w:rPr>
      </w:pPr>
      <w:r>
        <w:rPr>
          <w:rFonts w:ascii="Times New Roman" w:hAnsi="Times New Roman"/>
          <w:lang w:val="hr-HR"/>
        </w:rPr>
        <w:t>Miodrag Mišanović</w:t>
      </w:r>
    </w:p>
    <w:p>
      <w:pPr>
        <w:sectPr>
          <w:headerReference w:type="even" r:id="rId10"/>
          <w:headerReference w:type="default" r:id="rId11"/>
          <w:type w:val="nextPage"/>
          <w:pgSz w:orient="landscape" w:w="16838" w:h="11906"/>
          <w:pgMar w:left="1134" w:right="1134" w:gutter="0" w:header="1134" w:top="1968" w:footer="0" w:bottom="1134"/>
          <w:pgNumType w:fmt="decimal"/>
          <w:formProt w:val="false"/>
          <w:textDirection w:val="lrTb"/>
          <w:docGrid w:type="default" w:linePitch="100" w:charSpace="0"/>
        </w:sectPr>
        <w:pStyle w:val="Normal"/>
        <w:bidi w:val="0"/>
        <w:jc w:val="center"/>
        <w:rPr>
          <w:rFonts w:ascii="Times New Roman" w:hAnsi="Times New Roman"/>
        </w:rPr>
      </w:pPr>
      <w:r>
        <w:rPr/>
        <w:drawing>
          <wp:inline distT="0" distB="0" distL="0" distR="0">
            <wp:extent cx="5761355" cy="36830"/>
            <wp:effectExtent l="0" t="0" r="0" b="0"/>
            <wp:docPr id="3" name="Slik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5" descr=""/>
                    <pic:cNvPicPr>
                      <a:picLocks noChangeAspect="1" noChangeArrowheads="1"/>
                    </pic:cNvPicPr>
                  </pic:nvPicPr>
                  <pic:blipFill>
                    <a:blip r:embed="rId9"/>
                    <a:stretch>
                      <a:fillRect/>
                    </a:stretch>
                  </pic:blipFill>
                  <pic:spPr bwMode="auto">
                    <a:xfrm>
                      <a:off x="0" y="0"/>
                      <a:ext cx="5761355" cy="36830"/>
                    </a:xfrm>
                    <a:prstGeom prst="rect">
                      <a:avLst/>
                    </a:prstGeom>
                  </pic:spPr>
                </pic:pic>
              </a:graphicData>
            </a:graphic>
          </wp:inline>
        </w:drawing>
      </w:r>
    </w:p>
    <w:p>
      <w:pPr>
        <w:pStyle w:val="Normal"/>
        <w:jc w:val="left"/>
        <w:rPr>
          <w:b/>
          <w:b/>
          <w:bCs/>
        </w:rPr>
      </w:pPr>
      <w:r>
        <w:rPr>
          <w:b/>
          <w:bCs/>
        </w:rPr>
        <w:t>Općina Negoslavci</w:t>
      </w:r>
    </w:p>
    <w:p>
      <w:pPr>
        <w:pStyle w:val="Normal"/>
        <w:jc w:val="center"/>
        <w:rPr>
          <w:b/>
          <w:b/>
          <w:bCs/>
        </w:rPr>
      </w:pPr>
      <w:r>
        <w:rPr>
          <w:b/>
          <w:bCs/>
        </w:rPr>
      </w:r>
    </w:p>
    <w:p>
      <w:pPr>
        <w:pStyle w:val="Normal"/>
        <w:jc w:val="center"/>
        <w:rPr>
          <w:b/>
          <w:b/>
          <w:bCs/>
        </w:rPr>
      </w:pPr>
      <w:r>
        <w:rPr>
          <w:b/>
          <w:bCs/>
        </w:rPr>
        <w:t>Obrazloženje polugodišnjeg izvještaja o izvršenju proračuna Općine Negoslavci za 2025. godinu</w:t>
      </w:r>
    </w:p>
    <w:p>
      <w:pPr>
        <w:pStyle w:val="Normal"/>
        <w:rPr/>
      </w:pPr>
      <w:r>
        <w:rPr/>
      </w:r>
    </w:p>
    <w:p>
      <w:pPr>
        <w:pStyle w:val="Normal"/>
        <w:rPr/>
      </w:pPr>
      <w:r>
        <w:rPr/>
        <w:t xml:space="preserve">Polugodišnji izvještaj o izvršenju Proračuna sadrži: opći dio, posebni dio, obrazloženje i posebne izvještaje.  </w:t>
      </w:r>
    </w:p>
    <w:p>
      <w:pPr>
        <w:pStyle w:val="Normal"/>
        <w:rPr/>
      </w:pPr>
      <w:r>
        <w:rPr/>
      </w:r>
    </w:p>
    <w:p>
      <w:pPr>
        <w:pStyle w:val="ListParagraph"/>
        <w:numPr>
          <w:ilvl w:val="0"/>
          <w:numId w:val="1"/>
        </w:numPr>
        <w:jc w:val="center"/>
        <w:rPr>
          <w:b/>
          <w:b/>
          <w:bCs/>
        </w:rPr>
      </w:pPr>
      <w:r>
        <w:rPr>
          <w:b/>
          <w:bCs/>
        </w:rPr>
        <w:t>Opći dio</w:t>
      </w:r>
    </w:p>
    <w:p>
      <w:pPr>
        <w:pStyle w:val="ListParagraph"/>
        <w:ind w:hanging="0"/>
        <w:rPr/>
      </w:pPr>
      <w:r>
        <w:rPr/>
        <w:t>Opći dio polugodišnjeg izvještaja o izvršenju proračuna od I – VI 2025. godine sadrži tablice koje su sastavni dio ovog izvještaja a to su:</w:t>
      </w:r>
    </w:p>
    <w:p>
      <w:pPr>
        <w:pStyle w:val="ListParagraph"/>
        <w:numPr>
          <w:ilvl w:val="0"/>
          <w:numId w:val="2"/>
        </w:numPr>
        <w:rPr/>
      </w:pPr>
      <w:r>
        <w:rPr/>
        <w:t>Sažetak Računa prihoda i rashoda i Računa financiranja</w:t>
      </w:r>
    </w:p>
    <w:p>
      <w:pPr>
        <w:pStyle w:val="ListParagraph"/>
        <w:numPr>
          <w:ilvl w:val="1"/>
          <w:numId w:val="2"/>
        </w:numPr>
        <w:rPr/>
      </w:pPr>
      <w:r>
        <w:rPr/>
        <w:t>Račun prihoda i rashoda</w:t>
      </w:r>
    </w:p>
    <w:p>
      <w:pPr>
        <w:pStyle w:val="ListParagraph"/>
        <w:numPr>
          <w:ilvl w:val="1"/>
          <w:numId w:val="2"/>
        </w:numPr>
        <w:rPr/>
      </w:pPr>
      <w:r>
        <w:rPr/>
        <w:t>Račun financiranja</w:t>
      </w:r>
    </w:p>
    <w:p>
      <w:pPr>
        <w:pStyle w:val="Normal"/>
        <w:ind w:left="720" w:hanging="0"/>
        <w:rPr/>
      </w:pPr>
      <w:r>
        <w:rPr/>
      </w:r>
    </w:p>
    <w:p>
      <w:pPr>
        <w:pStyle w:val="ListParagraph"/>
        <w:numPr>
          <w:ilvl w:val="0"/>
          <w:numId w:val="2"/>
        </w:numPr>
        <w:jc w:val="center"/>
        <w:rPr>
          <w:b/>
          <w:b/>
          <w:bCs/>
        </w:rPr>
      </w:pPr>
      <w:r>
        <w:rPr>
          <w:b/>
          <w:bCs/>
        </w:rPr>
        <w:t>Posebni dio</w:t>
      </w:r>
    </w:p>
    <w:p>
      <w:pPr>
        <w:pStyle w:val="ListParagraph"/>
        <w:ind w:hanging="0"/>
        <w:rPr/>
      </w:pPr>
      <w:r>
        <w:rPr/>
        <w:t>Posebni dio polugodišnjeg izvršenja proračuna za 2025. godinu iskazan je u tablici:</w:t>
      </w:r>
    </w:p>
    <w:p>
      <w:pPr>
        <w:pStyle w:val="ListParagraph"/>
        <w:ind w:hanging="0"/>
        <w:rPr/>
      </w:pPr>
      <w:r>
        <w:rPr/>
        <w:t>2.1. Izvještaj po programskoj klasifikaciji</w:t>
      </w:r>
    </w:p>
    <w:p>
      <w:pPr>
        <w:pStyle w:val="ListParagraph"/>
        <w:ind w:left="1080" w:hanging="0"/>
        <w:rPr/>
      </w:pPr>
      <w:r>
        <w:rPr/>
      </w:r>
    </w:p>
    <w:p>
      <w:pPr>
        <w:pStyle w:val="ListParagraph"/>
        <w:ind w:left="1080" w:hanging="0"/>
        <w:rPr/>
      </w:pPr>
      <w:r>
        <w:rPr/>
      </w:r>
    </w:p>
    <w:p>
      <w:pPr>
        <w:pStyle w:val="ListParagraph"/>
        <w:numPr>
          <w:ilvl w:val="0"/>
          <w:numId w:val="2"/>
        </w:numPr>
        <w:jc w:val="center"/>
        <w:rPr>
          <w:b/>
          <w:b/>
          <w:bCs/>
        </w:rPr>
      </w:pPr>
      <w:r>
        <w:rPr>
          <w:b/>
          <w:bCs/>
        </w:rPr>
        <w:t>Obrazloženje polugodišnjeg izvještaja o izvršenju proračuna za 2025. godinu</w:t>
      </w:r>
    </w:p>
    <w:p>
      <w:pPr>
        <w:pStyle w:val="Normal"/>
        <w:ind w:hanging="0"/>
        <w:rPr/>
      </w:pPr>
      <w:r>
        <w:rPr/>
        <w:t xml:space="preserve">Obrazloženje polugodišnjeg izvještaja za 2025. godinu sastoji se od </w:t>
      </w:r>
    </w:p>
    <w:p>
      <w:pPr>
        <w:pStyle w:val="Normal"/>
        <w:ind w:hanging="0"/>
        <w:rPr/>
      </w:pPr>
      <w:r>
        <w:rPr/>
        <w:t>3.1. Obrazloženja općeg dijela</w:t>
      </w:r>
    </w:p>
    <w:p>
      <w:pPr>
        <w:pStyle w:val="Normal"/>
        <w:ind w:hanging="0"/>
        <w:rPr/>
      </w:pPr>
      <w:r>
        <w:rPr/>
        <w:t>- obrazloženja ostvarenja prihoda i rashoda, primitaka i izdataka</w:t>
      </w:r>
    </w:p>
    <w:p>
      <w:pPr>
        <w:pStyle w:val="Normal"/>
        <w:ind w:hanging="0"/>
        <w:rPr/>
      </w:pPr>
      <w:r>
        <w:rPr/>
        <w:t>- obrazloženja ostvarenog prijenosa sredstava iz prethodnih godina i prijenosa sredstava u sljedeće obračunsko razdoblje.</w:t>
      </w:r>
    </w:p>
    <w:p>
      <w:pPr>
        <w:pStyle w:val="Normal"/>
        <w:ind w:left="720" w:hanging="0"/>
        <w:rPr/>
      </w:pPr>
      <w:r>
        <w:rPr/>
      </w:r>
    </w:p>
    <w:p>
      <w:pPr>
        <w:pStyle w:val="Normal"/>
        <w:ind w:hanging="0"/>
        <w:jc w:val="both"/>
        <w:rPr/>
      </w:pPr>
      <w:r>
        <w:rPr/>
        <w:t>Ukupno ostvareni prihodi iznose 630.052,83 €, ukupni rashodi 610.497,34 €, te je rezultat višak prihoda nad rashodima u iznosu 19.555,49 €. Preneseni višak prihoda iz prethodne godine koji je i raspoređen prvim izmjenama i dopunama proračuna za 2025. godinu iznosi 371.828,81 €. Višak prihoda koji se prenosi u slijedeće razdoblje iznosi 391.384,30 € a čine ga sredstva u iznos 200.000 € dobiven za kapitalna ulaganja Zajedničkog veća općina i dio EU sredstava za provođenje projekta Zaželi.</w:t>
      </w:r>
    </w:p>
    <w:p>
      <w:pPr>
        <w:pStyle w:val="Normal"/>
        <w:ind w:left="720" w:hanging="0"/>
        <w:jc w:val="both"/>
        <w:rPr/>
      </w:pPr>
      <w:r>
        <w:rPr/>
      </w:r>
    </w:p>
    <w:p>
      <w:pPr>
        <w:pStyle w:val="Normal"/>
        <w:ind w:hanging="0"/>
        <w:jc w:val="both"/>
        <w:rPr/>
      </w:pPr>
      <w:r>
        <w:rPr/>
        <w:t>U razdoblju od 01. 01. do 30.06.2025. godine ostvareni su prihodi u iznosu 630.052,83 € što je 5% više nego prošle godine. Glavno povećanje odnosi se na povećanju pomoći. Smanjenje  bilježimo na prihodu od poreza na dohodak što upućuje na smanjenje broja zaposlenih na području općine Negoslavci.</w:t>
      </w:r>
    </w:p>
    <w:p>
      <w:pPr>
        <w:pStyle w:val="Normal"/>
        <w:ind w:hanging="0"/>
        <w:jc w:val="both"/>
        <w:rPr/>
      </w:pPr>
      <w:r>
        <w:rPr/>
        <w:t>S druge strane imamo povećanje prihoda od pomoći u odnosu na isto razdoblje prethodne godine za 10,6%. Na povećanje prihoda utjecala je dinamika provođenja projektnih aktivnosti, a sve u skladu s ugovorenim obvezama.</w:t>
      </w:r>
    </w:p>
    <w:p>
      <w:pPr>
        <w:pStyle w:val="Normal"/>
        <w:ind w:hanging="0"/>
        <w:jc w:val="both"/>
        <w:rPr/>
      </w:pPr>
      <w:r>
        <w:rPr/>
        <w:t>Ukupni rashodi izvršeni su u iznosu 610.108,55 € i znatno su veći nego prijašnje godine i to za 77,5%.</w:t>
      </w:r>
    </w:p>
    <w:p>
      <w:pPr>
        <w:pStyle w:val="Normal"/>
        <w:ind w:hanging="0"/>
        <w:jc w:val="both"/>
        <w:rPr/>
      </w:pPr>
      <w:r>
        <w:rPr/>
        <w:t xml:space="preserve">Znatno se povećanje odnosi na kapitalnim ulaganjima i to na renoviranje Etno kuće – Dom kulture te nabavi dječjeg igrališta u općini Negoslavci. </w:t>
      </w:r>
    </w:p>
    <w:p>
      <w:pPr>
        <w:pStyle w:val="Normal"/>
        <w:ind w:hanging="0"/>
        <w:jc w:val="both"/>
        <w:rPr/>
      </w:pPr>
      <w:r>
        <w:rPr/>
        <w:t>Znatno povećanje bilježi se i na rashodima za zaposlene jer za isto razdoblje u 2025. godini zaposleno je 8 radnika više i to troje na javnim radovima i pet na projektu Zaželi.</w:t>
      </w:r>
    </w:p>
    <w:p>
      <w:pPr>
        <w:pStyle w:val="Normal"/>
        <w:jc w:val="center"/>
        <w:rPr>
          <w:b/>
          <w:b/>
          <w:bCs/>
        </w:rPr>
      </w:pPr>
      <w:r>
        <w:rPr>
          <w:b/>
          <w:bCs/>
        </w:rPr>
      </w:r>
    </w:p>
    <w:p>
      <w:pPr>
        <w:pStyle w:val="Normal"/>
        <w:jc w:val="center"/>
        <w:rPr>
          <w:b/>
          <w:b/>
          <w:bCs/>
        </w:rPr>
      </w:pPr>
      <w:r>
        <w:rPr>
          <w:b/>
          <w:bCs/>
        </w:rPr>
      </w:r>
    </w:p>
    <w:p>
      <w:pPr>
        <w:sectPr>
          <w:headerReference w:type="even" r:id="rId12"/>
          <w:headerReference w:type="default" r:id="rId13"/>
          <w:type w:val="evenPage"/>
          <w:pgSz w:w="11906" w:h="16838"/>
          <w:pgMar w:left="1134" w:right="1134" w:gutter="0" w:header="1134" w:top="1417" w:footer="0" w:bottom="1134"/>
          <w:pgNumType w:fmt="decimal"/>
          <w:formProt w:val="false"/>
          <w:textDirection w:val="lrTb"/>
          <w:docGrid w:type="default" w:linePitch="100" w:charSpace="0"/>
        </w:sectPr>
        <w:pStyle w:val="Normal"/>
        <w:jc w:val="center"/>
        <w:rPr>
          <w:b/>
          <w:b/>
          <w:bCs/>
        </w:rPr>
      </w:pPr>
      <w:r>
        <w:rPr>
          <w:b/>
          <w:bCs/>
        </w:rPr>
      </w:r>
    </w:p>
    <w:p>
      <w:pPr>
        <w:pStyle w:val="Normal"/>
        <w:jc w:val="center"/>
        <w:rPr>
          <w:b/>
          <w:b/>
          <w:bCs/>
        </w:rPr>
      </w:pPr>
      <w:r>
        <w:rPr>
          <w:b/>
          <w:bCs/>
        </w:rPr>
        <w:t>Izvještaj o prihodima i rashodima prema izvorima financiranja</w:t>
      </w:r>
    </w:p>
    <w:p>
      <w:pPr>
        <w:pStyle w:val="Normal"/>
        <w:jc w:val="both"/>
        <w:rPr/>
      </w:pPr>
      <w:r>
        <w:rPr/>
        <w:t xml:space="preserve">Iz izvora 11 Opći prihodi i primici ostvareno je 66.975,76 € ili 29% od planiranog , a u odnosu na isto razdoblje prethodne godine ostvareno je 8% manje. Planirani prihod iz ovog izvora ostvarit će se na  godišnjem nivou budući se povrat poreza po godišnjoj prijavi vrši u prvoj polovini godine. </w:t>
      </w:r>
    </w:p>
    <w:p>
      <w:pPr>
        <w:pStyle w:val="Normal"/>
        <w:jc w:val="both"/>
        <w:rPr/>
      </w:pPr>
      <w:r>
        <w:rPr/>
        <w:t>Ostvareni rashodi iz ovog izvora iznose 41.591,08 € ili 18,15% u odnosu na plan, a u odnosu na prethodnu godinu manji su za 81% iz razloga jer su se rashodi pokrivali iz ostvarenog viška prihoda.</w:t>
      </w:r>
    </w:p>
    <w:p>
      <w:pPr>
        <w:pStyle w:val="Normal"/>
        <w:ind w:hanging="0"/>
        <w:jc w:val="both"/>
        <w:rPr/>
      </w:pPr>
      <w:r>
        <w:rPr/>
        <w:t>Iz izvora 52 pomoći EU ostvareno je 187.248,82 € ili 14,74% u odnosu na plansku veličinu. Ovo ostvarenje prihoda odnosi se na EU sredstva za projekt Zaželi. Postotak izvršenja  je znatno mal u odnosu na plan iz razlog što se planom planirana sredstva za izgradnju vrtića u općini Negoslavci u iznosu 800.000,00 €.</w:t>
      </w:r>
    </w:p>
    <w:p>
      <w:pPr>
        <w:pStyle w:val="Normal"/>
        <w:rPr/>
      </w:pPr>
      <w:r>
        <w:rPr/>
      </w:r>
    </w:p>
    <w:p>
      <w:pPr>
        <w:pStyle w:val="ListParagraph"/>
        <w:numPr>
          <w:ilvl w:val="0"/>
          <w:numId w:val="2"/>
        </w:numPr>
        <w:jc w:val="center"/>
        <w:rPr/>
      </w:pPr>
      <w:r>
        <w:rPr>
          <w:b/>
          <w:bCs/>
        </w:rPr>
        <w:t>Posebni izvještaji</w:t>
      </w:r>
    </w:p>
    <w:p>
      <w:pPr>
        <w:pStyle w:val="ListParagraph"/>
        <w:ind w:hanging="0"/>
        <w:rPr/>
      </w:pPr>
      <w:r>
        <w:rPr/>
        <w:t>Posebni izvještaj u polugodišnjem izvršenju je Izvještaj o zaduživanju na domaćem i stranom tržištu novca i kapitala.</w:t>
      </w:r>
    </w:p>
    <w:p>
      <w:pPr>
        <w:pStyle w:val="ListParagraph"/>
        <w:spacing w:before="0" w:after="160"/>
        <w:ind w:hanging="0"/>
        <w:contextualSpacing/>
        <w:rPr/>
      </w:pPr>
      <w:r>
        <w:rPr>
          <w:rFonts w:ascii="Times New Roman" w:hAnsi="Times New Roman"/>
          <w:color w:val="000000"/>
          <w:lang w:val="hr-HR"/>
        </w:rPr>
        <w:t>Općina Negoslavci u navedenom razdoblju nije se zaduživala na domaćem i stranom tržištu novca i kapitala.</w:t>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
    </w:p>
    <w:p>
      <w:pPr>
        <w:pStyle w:val="Normal"/>
        <w:bidi w:val="0"/>
        <w:jc w:val="both"/>
        <w:rPr>
          <w:rFonts w:ascii="Times New Roman" w:hAnsi="Times New Roman"/>
        </w:rPr>
      </w:pPr>
      <w:r>
        <w:rPr>
          <w:rFonts w:ascii="Times New Roman" w:hAnsi="Times New Roman"/>
          <w:lang w:val="hr-HR"/>
        </w:rPr>
      </w:r>
    </w:p>
    <w:p>
      <w:pPr>
        <w:pStyle w:val="Normal"/>
        <w:bidi w:val="0"/>
        <w:jc w:val="both"/>
        <w:rPr>
          <w:rFonts w:ascii="Times New Roman" w:hAnsi="Times New Roman"/>
        </w:rPr>
      </w:pPr>
      <w:r>
        <w:rPr>
          <w:rFonts w:ascii="Times New Roman" w:hAnsi="Times New Roman"/>
          <w:lang w:val="hr-HR"/>
        </w:rPr>
        <w:tab/>
        <w:t xml:space="preserve">Na temelju članka 4., stavka 1. </w:t>
      </w:r>
      <w:r>
        <w:rPr>
          <w:rFonts w:eastAsia="Calibri" w:cs="Times New Roman" w:ascii="Times New Roman" w:hAnsi="Times New Roman"/>
          <w:szCs w:val="24"/>
          <w:lang w:val="hr-HR"/>
        </w:rPr>
        <w:t>Zakona o sprječavanju sukoba interesa („Narodne novine“ broj 143/21 i 36/24),</w:t>
      </w:r>
      <w:r>
        <w:rPr>
          <w:rFonts w:ascii="Times New Roman" w:hAnsi="Times New Roman"/>
          <w:lang w:val="hr-HR"/>
        </w:rPr>
        <w:t xml:space="preserve"> članka 12. Etičkog kodeksa nositelja političke dužnosti Općine Negoslavci („Službeni glasnik Općine Negoslavci“ broj 03/22) i članka 19., stavka 2., točke 2. Statuta Općine Negoslavci („Službeni glasnik Općine Negoslavci“ broj 04/25), Općinsko vijeće Općine Negoslavci dana 15.09.2025. godine donosi</w:t>
      </w:r>
    </w:p>
    <w:p>
      <w:pPr>
        <w:pStyle w:val="Normal"/>
        <w:bidi w:val="0"/>
        <w:jc w:val="left"/>
        <w:rPr>
          <w:rFonts w:ascii="Times New Roman" w:hAnsi="Times New Roman"/>
          <w:lang w:val="hr-HR"/>
        </w:rPr>
      </w:pPr>
      <w:r>
        <w:rPr>
          <w:rFonts w:ascii="Times New Roman" w:hAnsi="Times New Roman"/>
          <w:lang w:val="hr-HR"/>
        </w:rPr>
      </w:r>
    </w:p>
    <w:p>
      <w:pPr>
        <w:pStyle w:val="Normal"/>
        <w:bidi w:val="0"/>
        <w:jc w:val="center"/>
        <w:rPr>
          <w:rFonts w:ascii="Times New Roman" w:hAnsi="Times New Roman"/>
        </w:rPr>
      </w:pPr>
      <w:r>
        <w:rPr>
          <w:rFonts w:ascii="Times New Roman" w:hAnsi="Times New Roman"/>
          <w:b/>
          <w:lang w:val="hr-HR"/>
        </w:rPr>
        <w:t xml:space="preserve">ODLUKU O OSNIVANJU ETIČKOG ODBORA </w:t>
      </w:r>
    </w:p>
    <w:p>
      <w:pPr>
        <w:pStyle w:val="Normal"/>
        <w:bidi w:val="0"/>
        <w:jc w:val="center"/>
        <w:rPr>
          <w:rFonts w:ascii="Times New Roman" w:hAnsi="Times New Roman"/>
          <w:b/>
          <w:b/>
          <w:lang w:val="hr-HR"/>
        </w:rPr>
      </w:pPr>
      <w:r>
        <w:rPr>
          <w:rFonts w:ascii="Times New Roman" w:hAnsi="Times New Roman"/>
          <w:b/>
          <w:lang w:val="hr-HR"/>
        </w:rPr>
      </w:r>
    </w:p>
    <w:p>
      <w:pPr>
        <w:pStyle w:val="Normal"/>
        <w:bidi w:val="0"/>
        <w:jc w:val="center"/>
        <w:rPr>
          <w:rFonts w:ascii="Times New Roman" w:hAnsi="Times New Roman"/>
        </w:rPr>
      </w:pPr>
      <w:r>
        <w:rPr>
          <w:rFonts w:ascii="Times New Roman" w:hAnsi="Times New Roman"/>
          <w:b/>
          <w:lang w:val="hr-HR"/>
        </w:rPr>
        <w:t>Članak 1.</w:t>
      </w:r>
    </w:p>
    <w:p>
      <w:pPr>
        <w:pStyle w:val="Normal"/>
        <w:bidi w:val="0"/>
        <w:jc w:val="left"/>
        <w:rPr>
          <w:rFonts w:ascii="Times New Roman" w:hAnsi="Times New Roman"/>
        </w:rPr>
      </w:pPr>
      <w:r>
        <w:rPr>
          <w:rFonts w:ascii="Times New Roman" w:hAnsi="Times New Roman"/>
          <w:lang w:val="hr-HR"/>
        </w:rPr>
        <w:tab/>
        <w:t>Osniva se Etički odbor Općine Negoslavci.</w:t>
      </w:r>
    </w:p>
    <w:p>
      <w:pPr>
        <w:pStyle w:val="Normal"/>
        <w:bidi w:val="0"/>
        <w:jc w:val="left"/>
        <w:rPr>
          <w:rFonts w:ascii="Times New Roman" w:hAnsi="Times New Roman"/>
          <w:lang w:val="hr-HR"/>
        </w:rPr>
      </w:pPr>
      <w:r>
        <w:rPr>
          <w:rFonts w:ascii="Times New Roman" w:hAnsi="Times New Roman"/>
          <w:lang w:val="hr-HR"/>
        </w:rPr>
      </w:r>
    </w:p>
    <w:p>
      <w:pPr>
        <w:pStyle w:val="Normal"/>
        <w:bidi w:val="0"/>
        <w:jc w:val="center"/>
        <w:rPr>
          <w:rFonts w:ascii="Times New Roman" w:hAnsi="Times New Roman"/>
        </w:rPr>
      </w:pPr>
      <w:r>
        <w:rPr>
          <w:rFonts w:ascii="Times New Roman" w:hAnsi="Times New Roman"/>
          <w:b/>
          <w:lang w:val="hr-HR"/>
        </w:rPr>
        <w:t>Članak 2.</w:t>
      </w:r>
    </w:p>
    <w:p>
      <w:pPr>
        <w:pStyle w:val="Normal"/>
        <w:bidi w:val="0"/>
        <w:jc w:val="both"/>
        <w:rPr>
          <w:rFonts w:ascii="Times New Roman" w:hAnsi="Times New Roman"/>
        </w:rPr>
      </w:pPr>
      <w:r>
        <w:rPr>
          <w:rFonts w:ascii="Times New Roman" w:hAnsi="Times New Roman"/>
          <w:b/>
          <w:lang w:val="hr-HR"/>
        </w:rPr>
        <w:tab/>
      </w:r>
      <w:r>
        <w:rPr>
          <w:rFonts w:ascii="Times New Roman" w:hAnsi="Times New Roman"/>
          <w:lang w:val="hr-HR"/>
        </w:rPr>
        <w:t>U sastav Etičkog odbora biraju se:</w:t>
      </w:r>
    </w:p>
    <w:p>
      <w:pPr>
        <w:pStyle w:val="ListParagraph"/>
        <w:numPr>
          <w:ilvl w:val="0"/>
          <w:numId w:val="1"/>
        </w:numPr>
        <w:bidi w:val="0"/>
        <w:jc w:val="both"/>
        <w:rPr>
          <w:rFonts w:ascii="Times New Roman" w:hAnsi="Times New Roman"/>
        </w:rPr>
      </w:pPr>
      <w:r>
        <w:rPr>
          <w:rFonts w:ascii="Times New Roman" w:hAnsi="Times New Roman"/>
          <w:lang w:val="hr-HR"/>
        </w:rPr>
        <w:t>1. Miloš Rodić - predsjednik,</w:t>
      </w:r>
    </w:p>
    <w:p>
      <w:pPr>
        <w:pStyle w:val="ListParagraph"/>
        <w:numPr>
          <w:ilvl w:val="0"/>
          <w:numId w:val="1"/>
        </w:numPr>
        <w:bidi w:val="0"/>
        <w:jc w:val="both"/>
        <w:rPr>
          <w:rFonts w:ascii="Times New Roman" w:hAnsi="Times New Roman"/>
        </w:rPr>
      </w:pPr>
      <w:r>
        <w:rPr>
          <w:rFonts w:ascii="Times New Roman" w:hAnsi="Times New Roman"/>
          <w:lang w:val="hr-HR"/>
        </w:rPr>
        <w:t>2. Milica Šarčević Tunjić - član,</w:t>
      </w:r>
    </w:p>
    <w:p>
      <w:pPr>
        <w:pStyle w:val="ListParagraph"/>
        <w:numPr>
          <w:ilvl w:val="0"/>
          <w:numId w:val="1"/>
        </w:numPr>
        <w:bidi w:val="0"/>
        <w:jc w:val="both"/>
        <w:rPr>
          <w:rFonts w:ascii="Times New Roman" w:hAnsi="Times New Roman"/>
        </w:rPr>
      </w:pPr>
      <w:r>
        <w:rPr>
          <w:rFonts w:ascii="Times New Roman" w:hAnsi="Times New Roman"/>
          <w:lang w:val="hr-HR"/>
        </w:rPr>
        <w:t>3. Suzana Sredojević - član.</w:t>
      </w:r>
    </w:p>
    <w:p>
      <w:pPr>
        <w:pStyle w:val="Normal"/>
        <w:bidi w:val="0"/>
        <w:jc w:val="left"/>
        <w:rPr>
          <w:rFonts w:ascii="Times New Roman" w:hAnsi="Times New Roman"/>
          <w:lang w:val="hr-HR"/>
        </w:rPr>
      </w:pPr>
      <w:r>
        <w:rPr>
          <w:rFonts w:ascii="Times New Roman" w:hAnsi="Times New Roman"/>
          <w:lang w:val="hr-HR"/>
        </w:rPr>
      </w:r>
    </w:p>
    <w:p>
      <w:pPr>
        <w:pStyle w:val="Normal"/>
        <w:bidi w:val="0"/>
        <w:jc w:val="center"/>
        <w:rPr>
          <w:rFonts w:ascii="Times New Roman" w:hAnsi="Times New Roman"/>
        </w:rPr>
      </w:pPr>
      <w:r>
        <w:rPr>
          <w:rFonts w:ascii="Times New Roman" w:hAnsi="Times New Roman"/>
          <w:b/>
          <w:lang w:val="hr-HR"/>
        </w:rPr>
        <w:t>Članak 3.</w:t>
      </w:r>
    </w:p>
    <w:p>
      <w:pPr>
        <w:pStyle w:val="Normal"/>
        <w:bidi w:val="0"/>
        <w:jc w:val="left"/>
        <w:rPr>
          <w:rFonts w:ascii="Times New Roman" w:hAnsi="Times New Roman"/>
        </w:rPr>
      </w:pPr>
      <w:r>
        <w:rPr>
          <w:rFonts w:ascii="Times New Roman" w:hAnsi="Times New Roman"/>
          <w:b/>
          <w:lang w:val="hr-HR"/>
        </w:rPr>
        <w:tab/>
      </w:r>
      <w:r>
        <w:rPr>
          <w:rFonts w:ascii="Times New Roman" w:hAnsi="Times New Roman"/>
          <w:lang w:val="hr-HR"/>
        </w:rPr>
        <w:t>Ova Odluka stupa na snagu osmog dana od dana objave u Službenom glasniku Općine Negoslavci.</w:t>
      </w:r>
    </w:p>
    <w:p>
      <w:pPr>
        <w:pStyle w:val="Normal"/>
        <w:bidi w:val="0"/>
        <w:jc w:val="left"/>
        <w:rPr>
          <w:rFonts w:ascii="Times New Roman" w:hAnsi="Times New Roman"/>
          <w:lang w:val="hr-HR"/>
        </w:rPr>
      </w:pPr>
      <w:r>
        <w:rPr>
          <w:rFonts w:ascii="Times New Roman" w:hAnsi="Times New Roman"/>
          <w:lang w:val="hr-HR"/>
        </w:rPr>
      </w:r>
    </w:p>
    <w:p>
      <w:pPr>
        <w:pStyle w:val="Normal"/>
        <w:bidi w:val="0"/>
        <w:jc w:val="left"/>
        <w:rPr>
          <w:rFonts w:ascii="Times New Roman" w:hAnsi="Times New Roman"/>
        </w:rPr>
      </w:pPr>
      <w:r>
        <w:rPr>
          <w:rFonts w:ascii="Times New Roman" w:hAnsi="Times New Roman"/>
          <w:b w:val="false"/>
          <w:bCs w:val="false"/>
          <w:color w:val="000000"/>
          <w:lang w:val="hr-HR"/>
        </w:rPr>
        <w:t>KLASA: 024-02/25-01/07</w:t>
      </w:r>
    </w:p>
    <w:p>
      <w:pPr>
        <w:pStyle w:val="Normal"/>
        <w:bidi w:val="0"/>
        <w:jc w:val="left"/>
        <w:rPr>
          <w:rFonts w:ascii="Times New Roman" w:hAnsi="Times New Roman"/>
        </w:rPr>
      </w:pPr>
      <w:r>
        <w:rPr>
          <w:rFonts w:ascii="Times New Roman" w:hAnsi="Times New Roman"/>
          <w:b w:val="false"/>
          <w:bCs w:val="false"/>
          <w:color w:val="000000"/>
          <w:lang w:val="hr-HR"/>
        </w:rPr>
        <w:t>URBROJ: 2196-19-02-25-01</w:t>
      </w:r>
    </w:p>
    <w:p>
      <w:pPr>
        <w:pStyle w:val="Normal"/>
        <w:bidi w:val="0"/>
        <w:jc w:val="left"/>
        <w:rPr>
          <w:rFonts w:ascii="Times New Roman" w:hAnsi="Times New Roman"/>
        </w:rPr>
      </w:pPr>
      <w:r>
        <w:rPr>
          <w:rFonts w:ascii="Times New Roman" w:hAnsi="Times New Roman"/>
          <w:b w:val="false"/>
          <w:bCs w:val="false"/>
        </w:rPr>
        <w:t>Negoslavci, 15. rujna 2025.</w:t>
      </w:r>
    </w:p>
    <w:p>
      <w:pPr>
        <w:pStyle w:val="Normal"/>
        <w:bidi w:val="0"/>
        <w:jc w:val="left"/>
        <w:rPr>
          <w:rFonts w:ascii="Times New Roman" w:hAnsi="Times New Roman"/>
          <w:lang w:val="hr-HR"/>
        </w:rPr>
      </w:pPr>
      <w:r>
        <w:rPr>
          <w:rFonts w:ascii="Times New Roman" w:hAnsi="Times New Roman"/>
          <w:lang w:val="hr-HR"/>
        </w:rPr>
      </w:r>
    </w:p>
    <w:p>
      <w:pPr>
        <w:pStyle w:val="Normal"/>
        <w:bidi w:val="0"/>
        <w:jc w:val="center"/>
        <w:rPr>
          <w:rFonts w:ascii="Times New Roman" w:hAnsi="Times New Roman"/>
        </w:rPr>
      </w:pPr>
      <w:r>
        <w:rPr>
          <w:rFonts w:ascii="Times New Roman" w:hAnsi="Times New Roman"/>
          <w:b/>
          <w:lang w:val="hr-HR"/>
        </w:rPr>
        <w:t>PREDSJEDNIK OPĆINSKOG VIJEĆA:</w:t>
      </w:r>
    </w:p>
    <w:p>
      <w:pPr>
        <w:pStyle w:val="Normal"/>
        <w:bidi w:val="0"/>
        <w:jc w:val="center"/>
        <w:rPr>
          <w:rFonts w:ascii="Times New Roman" w:hAnsi="Times New Roman"/>
        </w:rPr>
      </w:pPr>
      <w:r>
        <w:rPr>
          <w:rFonts w:ascii="Times New Roman" w:hAnsi="Times New Roman"/>
          <w:lang w:val="hr-HR"/>
        </w:rPr>
        <w:t>Miodrag Mišanović</w:t>
      </w:r>
    </w:p>
    <w:p>
      <w:pPr>
        <w:pStyle w:val="Normal"/>
        <w:bidi w:val="0"/>
        <w:jc w:val="right"/>
        <w:rPr>
          <w:rFonts w:ascii="Times New Roman" w:hAnsi="Times New Roman"/>
        </w:rPr>
      </w:pPr>
      <w:r>
        <w:rPr/>
        <w:drawing>
          <wp:inline distT="0" distB="0" distL="0" distR="0">
            <wp:extent cx="5761355" cy="36830"/>
            <wp:effectExtent l="0" t="0" r="0" b="0"/>
            <wp:docPr id="4" name="Slik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1" descr=""/>
                    <pic:cNvPicPr>
                      <a:picLocks noChangeAspect="1" noChangeArrowheads="1"/>
                    </pic:cNvPicPr>
                  </pic:nvPicPr>
                  <pic:blipFill>
                    <a:blip r:embed="rId14"/>
                    <a:stretch>
                      <a:fillRect/>
                    </a:stretch>
                  </pic:blipFill>
                  <pic:spPr bwMode="auto">
                    <a:xfrm>
                      <a:off x="0" y="0"/>
                      <a:ext cx="5761355" cy="36830"/>
                    </a:xfrm>
                    <a:prstGeom prst="rect">
                      <a:avLst/>
                    </a:prstGeom>
                  </pic:spPr>
                </pic:pic>
              </a:graphicData>
            </a:graphic>
          </wp:inline>
        </w:drawing>
      </w:r>
    </w:p>
    <w:p>
      <w:pPr>
        <w:pStyle w:val="Normal"/>
        <w:jc w:val="both"/>
        <w:rPr>
          <w:rFonts w:ascii="Times New Roman" w:hAnsi="Times New Roman"/>
          <w:sz w:val="24"/>
          <w:szCs w:val="24"/>
        </w:rPr>
      </w:pPr>
      <w:r>
        <w:rPr>
          <w:rFonts w:ascii="Times New Roman" w:hAnsi="Times New Roman"/>
          <w:sz w:val="24"/>
          <w:szCs w:val="24"/>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jc w:val="both"/>
        <w:rPr>
          <w:rFonts w:ascii="Times New Roman" w:hAnsi="Times New Roman"/>
          <w:lang w:val="hr-HR"/>
        </w:rPr>
      </w:pPr>
      <w:r>
        <w:rPr>
          <w:rFonts w:ascii="Times New Roman" w:hAnsi="Times New Roman"/>
          <w:lang w:val="hr-HR"/>
        </w:rPr>
      </w:r>
    </w:p>
    <w:p>
      <w:pPr>
        <w:pStyle w:val="Normal"/>
        <w:jc w:val="both"/>
        <w:rPr>
          <w:rFonts w:ascii="Times New Roman" w:hAnsi="Times New Roman"/>
          <w:lang w:val="hr-HR"/>
        </w:rPr>
      </w:pPr>
      <w:r>
        <w:rPr>
          <w:rFonts w:ascii="Times New Roman" w:hAnsi="Times New Roman"/>
          <w:lang w:val="hr-HR"/>
        </w:rPr>
      </w:r>
    </w:p>
    <w:p>
      <w:pPr>
        <w:pStyle w:val="Normal"/>
        <w:jc w:val="both"/>
        <w:rPr>
          <w:rFonts w:ascii="Times New Roman" w:hAnsi="Times New Roman"/>
          <w:lang w:val="hr-HR"/>
        </w:rPr>
      </w:pPr>
      <w:r>
        <w:rPr>
          <w:rFonts w:ascii="Times New Roman" w:hAnsi="Times New Roman"/>
          <w:lang w:val="hr-HR"/>
        </w:rPr>
      </w:r>
    </w:p>
    <w:p>
      <w:pPr>
        <w:pStyle w:val="Normal"/>
        <w:jc w:val="both"/>
        <w:rPr>
          <w:rFonts w:ascii="Times New Roman" w:hAnsi="Times New Roman"/>
          <w:lang w:val="hr-HR"/>
        </w:rPr>
      </w:pPr>
      <w:r>
        <w:rPr>
          <w:rFonts w:ascii="Times New Roman" w:hAnsi="Times New Roman"/>
          <w:lang w:val="hr-HR"/>
        </w:rPr>
      </w:r>
    </w:p>
    <w:p>
      <w:pPr>
        <w:pStyle w:val="Normal"/>
        <w:jc w:val="both"/>
        <w:rPr>
          <w:rFonts w:ascii="Times New Roman" w:hAnsi="Times New Roman"/>
        </w:rPr>
      </w:pPr>
      <w:r>
        <w:rPr>
          <w:rFonts w:ascii="Times New Roman" w:hAnsi="Times New Roman"/>
          <w:lang w:val="hr-HR"/>
        </w:rPr>
        <w:tab/>
        <w:t xml:space="preserve">Na temelju članka 4., stavka 1. </w:t>
      </w:r>
      <w:r>
        <w:rPr>
          <w:rFonts w:eastAsia="Calibri" w:cs="Times New Roman" w:ascii="Times New Roman" w:hAnsi="Times New Roman"/>
          <w:szCs w:val="24"/>
          <w:lang w:val="hr-HR"/>
        </w:rPr>
        <w:t>Zakona o sprječavanju sukoba interesa („Narodne novine“ broj 143/21 i  36/24),</w:t>
      </w:r>
      <w:r>
        <w:rPr>
          <w:rFonts w:ascii="Times New Roman" w:hAnsi="Times New Roman"/>
          <w:lang w:val="hr-HR"/>
        </w:rPr>
        <w:t xml:space="preserve"> članka 12. Etičkog kodeksa nositelja političke dužnosti Općine Negoslavci („Službeni glasnik Općine Negoslavci“ broj 03/22) i članka 19., stavka 2., točke 2. Statuta Općine Negoslavci („Službeni glasnik Općine Negoslavci“ broj 04/25), Općinsko vijeće Općine Negoslavci dana 15.09.2025. godine donosi</w:t>
      </w:r>
    </w:p>
    <w:p>
      <w:pPr>
        <w:pStyle w:val="Normal"/>
        <w:rPr>
          <w:rFonts w:ascii="Times New Roman" w:hAnsi="Times New Roman"/>
          <w:lang w:val="hr-HR"/>
        </w:rPr>
      </w:pPr>
      <w:r>
        <w:rPr>
          <w:rFonts w:ascii="Times New Roman" w:hAnsi="Times New Roman"/>
          <w:lang w:val="hr-HR"/>
        </w:rPr>
      </w:r>
    </w:p>
    <w:p>
      <w:pPr>
        <w:pStyle w:val="Normal"/>
        <w:jc w:val="center"/>
        <w:rPr>
          <w:rFonts w:ascii="Times New Roman" w:hAnsi="Times New Roman"/>
        </w:rPr>
      </w:pPr>
      <w:r>
        <w:rPr>
          <w:rFonts w:ascii="Times New Roman" w:hAnsi="Times New Roman"/>
          <w:b/>
          <w:lang w:val="hr-HR"/>
        </w:rPr>
        <w:t>ODLUKU O OSNIVANJU VIJEĆA ČASTI</w:t>
      </w:r>
    </w:p>
    <w:p>
      <w:pPr>
        <w:pStyle w:val="Normal"/>
        <w:jc w:val="right"/>
        <w:rPr>
          <w:rFonts w:ascii="Times New Roman" w:hAnsi="Times New Roman"/>
          <w:lang w:val="hr-HR"/>
        </w:rPr>
      </w:pPr>
      <w:r>
        <w:rPr>
          <w:rFonts w:ascii="Times New Roman" w:hAnsi="Times New Roman"/>
          <w:lang w:val="hr-HR"/>
        </w:rPr>
      </w:r>
    </w:p>
    <w:p>
      <w:pPr>
        <w:pStyle w:val="Normal"/>
        <w:jc w:val="center"/>
        <w:rPr>
          <w:rFonts w:ascii="Times New Roman" w:hAnsi="Times New Roman"/>
        </w:rPr>
      </w:pPr>
      <w:r>
        <w:rPr>
          <w:rFonts w:ascii="Times New Roman" w:hAnsi="Times New Roman"/>
          <w:b/>
          <w:lang w:val="hr-HR"/>
        </w:rPr>
        <w:t>Članak 1.</w:t>
      </w:r>
    </w:p>
    <w:p>
      <w:pPr>
        <w:pStyle w:val="Normal"/>
        <w:rPr>
          <w:rFonts w:ascii="Times New Roman" w:hAnsi="Times New Roman"/>
        </w:rPr>
      </w:pPr>
      <w:r>
        <w:rPr>
          <w:rFonts w:ascii="Times New Roman" w:hAnsi="Times New Roman"/>
          <w:b/>
          <w:lang w:val="hr-HR"/>
        </w:rPr>
        <w:tab/>
      </w:r>
      <w:r>
        <w:rPr>
          <w:rFonts w:ascii="Times New Roman" w:hAnsi="Times New Roman"/>
          <w:lang w:val="hr-HR"/>
        </w:rPr>
        <w:t>Osniva se Vijeće časti Općine Negoslavci.</w:t>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lang w:val="hr-HR"/>
        </w:rPr>
      </w:pPr>
      <w:r>
        <w:rPr>
          <w:rFonts w:ascii="Times New Roman" w:hAnsi="Times New Roman"/>
          <w:lang w:val="hr-HR"/>
        </w:rPr>
      </w:r>
    </w:p>
    <w:p>
      <w:pPr>
        <w:pStyle w:val="Normal"/>
        <w:jc w:val="center"/>
        <w:rPr>
          <w:rFonts w:ascii="Times New Roman" w:hAnsi="Times New Roman"/>
        </w:rPr>
      </w:pPr>
      <w:r>
        <w:rPr>
          <w:rFonts w:ascii="Times New Roman" w:hAnsi="Times New Roman"/>
          <w:b/>
          <w:lang w:val="hr-HR"/>
        </w:rPr>
        <w:t>Članak 2.</w:t>
      </w:r>
    </w:p>
    <w:p>
      <w:pPr>
        <w:pStyle w:val="Normal"/>
        <w:rPr>
          <w:rFonts w:ascii="Times New Roman" w:hAnsi="Times New Roman"/>
        </w:rPr>
      </w:pPr>
      <w:r>
        <w:rPr>
          <w:rFonts w:ascii="Times New Roman" w:hAnsi="Times New Roman"/>
          <w:lang w:val="hr-HR"/>
        </w:rPr>
        <w:tab/>
        <w:t>U sastav Vijeće časti biraju se:</w:t>
      </w:r>
    </w:p>
    <w:p>
      <w:pPr>
        <w:pStyle w:val="ListParagraph"/>
        <w:numPr>
          <w:ilvl w:val="0"/>
          <w:numId w:val="1"/>
        </w:numPr>
        <w:rPr>
          <w:rFonts w:ascii="Times New Roman" w:hAnsi="Times New Roman"/>
        </w:rPr>
      </w:pPr>
      <w:r>
        <w:rPr>
          <w:rFonts w:ascii="Times New Roman" w:hAnsi="Times New Roman"/>
          <w:lang w:val="hr-HR"/>
        </w:rPr>
        <w:t>1. Jelena Radulov – pred</w:t>
      </w:r>
      <w:bookmarkStart w:id="0" w:name="_GoBack"/>
      <w:bookmarkEnd w:id="0"/>
      <w:r>
        <w:rPr>
          <w:rFonts w:ascii="Times New Roman" w:hAnsi="Times New Roman"/>
          <w:lang w:val="hr-HR"/>
        </w:rPr>
        <w:t>sjednica,</w:t>
      </w:r>
    </w:p>
    <w:p>
      <w:pPr>
        <w:pStyle w:val="ListParagraph"/>
        <w:numPr>
          <w:ilvl w:val="0"/>
          <w:numId w:val="1"/>
        </w:numPr>
        <w:rPr>
          <w:rFonts w:ascii="Times New Roman" w:hAnsi="Times New Roman"/>
        </w:rPr>
      </w:pPr>
      <w:r>
        <w:rPr>
          <w:rFonts w:ascii="Times New Roman" w:hAnsi="Times New Roman"/>
          <w:lang w:val="hr-HR"/>
        </w:rPr>
        <w:t>2. Biljana Bebić – član,</w:t>
      </w:r>
    </w:p>
    <w:p>
      <w:pPr>
        <w:pStyle w:val="ListParagraph"/>
        <w:numPr>
          <w:ilvl w:val="0"/>
          <w:numId w:val="1"/>
        </w:numPr>
        <w:rPr>
          <w:rFonts w:ascii="Times New Roman" w:hAnsi="Times New Roman"/>
        </w:rPr>
      </w:pPr>
      <w:r>
        <w:rPr>
          <w:rFonts w:ascii="Times New Roman" w:hAnsi="Times New Roman"/>
          <w:lang w:val="hr-HR"/>
        </w:rPr>
        <w:t>3. Jelena Božičković – član,</w:t>
      </w:r>
    </w:p>
    <w:p>
      <w:pPr>
        <w:pStyle w:val="ListParagraph"/>
        <w:numPr>
          <w:ilvl w:val="0"/>
          <w:numId w:val="1"/>
        </w:numPr>
        <w:rPr>
          <w:rFonts w:ascii="Times New Roman" w:hAnsi="Times New Roman"/>
        </w:rPr>
      </w:pPr>
      <w:r>
        <w:rPr>
          <w:rFonts w:ascii="Times New Roman" w:hAnsi="Times New Roman"/>
          <w:lang w:val="hr-HR"/>
        </w:rPr>
        <w:t>4. Jelena Bakarić – član,</w:t>
      </w:r>
    </w:p>
    <w:p>
      <w:pPr>
        <w:pStyle w:val="ListParagraph"/>
        <w:numPr>
          <w:ilvl w:val="0"/>
          <w:numId w:val="1"/>
        </w:numPr>
        <w:rPr>
          <w:rFonts w:ascii="Times New Roman" w:hAnsi="Times New Roman"/>
        </w:rPr>
      </w:pPr>
      <w:r>
        <w:rPr>
          <w:rFonts w:ascii="Times New Roman" w:hAnsi="Times New Roman"/>
          <w:lang w:val="hr-HR"/>
        </w:rPr>
        <w:t>5. Sanja Sredojević – član.</w:t>
      </w:r>
    </w:p>
    <w:p>
      <w:pPr>
        <w:pStyle w:val="Normal"/>
        <w:rPr>
          <w:rFonts w:ascii="Times New Roman" w:hAnsi="Times New Roman"/>
          <w:lang w:val="hr-HR"/>
        </w:rPr>
      </w:pPr>
      <w:r>
        <w:rPr>
          <w:rFonts w:ascii="Times New Roman" w:hAnsi="Times New Roman"/>
          <w:lang w:val="hr-HR"/>
        </w:rPr>
      </w:r>
    </w:p>
    <w:p>
      <w:pPr>
        <w:pStyle w:val="Normal"/>
        <w:jc w:val="center"/>
        <w:rPr>
          <w:rFonts w:ascii="Times New Roman" w:hAnsi="Times New Roman"/>
        </w:rPr>
      </w:pPr>
      <w:r>
        <w:rPr>
          <w:rFonts w:ascii="Times New Roman" w:hAnsi="Times New Roman"/>
          <w:b/>
          <w:lang w:val="hr-HR"/>
        </w:rPr>
        <w:t>Članak 3.</w:t>
      </w:r>
    </w:p>
    <w:p>
      <w:pPr>
        <w:pStyle w:val="Normal"/>
        <w:rPr>
          <w:rFonts w:ascii="Times New Roman" w:hAnsi="Times New Roman"/>
        </w:rPr>
      </w:pPr>
      <w:r>
        <w:rPr>
          <w:rFonts w:ascii="Times New Roman" w:hAnsi="Times New Roman"/>
          <w:lang w:val="hr-HR"/>
        </w:rPr>
        <w:tab/>
        <w:t>Ova Odluka stupa na snagu osmog dana od dana objave u Službenom glasniku Općine Negoslavci.</w:t>
      </w:r>
    </w:p>
    <w:p>
      <w:pPr>
        <w:pStyle w:val="Normal"/>
        <w:rPr>
          <w:rFonts w:ascii="Times New Roman" w:hAnsi="Times New Roman"/>
          <w:lang w:val="hr-HR"/>
        </w:rPr>
      </w:pPr>
      <w:r>
        <w:rPr>
          <w:rFonts w:ascii="Times New Roman" w:hAnsi="Times New Roman"/>
          <w:lang w:val="hr-HR"/>
        </w:rPr>
      </w:r>
    </w:p>
    <w:p>
      <w:pPr>
        <w:pStyle w:val="Normal"/>
        <w:rPr>
          <w:rFonts w:ascii="Times New Roman" w:hAnsi="Times New Roman"/>
        </w:rPr>
      </w:pPr>
      <w:r>
        <w:rPr>
          <w:rFonts w:ascii="Times New Roman" w:hAnsi="Times New Roman"/>
          <w:b w:val="false"/>
          <w:bCs w:val="false"/>
          <w:lang w:val="hr-HR"/>
        </w:rPr>
        <w:t>KLASA: 024-02/2</w:t>
      </w:r>
      <w:r>
        <w:rPr>
          <w:rFonts w:ascii="Times New Roman" w:hAnsi="Times New Roman"/>
          <w:b w:val="false"/>
          <w:bCs w:val="false"/>
          <w:color w:val="000000"/>
          <w:lang w:val="hr-HR"/>
        </w:rPr>
        <w:t>5-01/08</w:t>
      </w:r>
    </w:p>
    <w:p>
      <w:pPr>
        <w:pStyle w:val="Normal"/>
        <w:rPr>
          <w:rFonts w:ascii="Times New Roman" w:hAnsi="Times New Roman"/>
        </w:rPr>
      </w:pPr>
      <w:r>
        <w:rPr>
          <w:rFonts w:ascii="Times New Roman" w:hAnsi="Times New Roman"/>
          <w:b w:val="false"/>
          <w:bCs w:val="false"/>
          <w:color w:val="000000"/>
          <w:lang w:val="hr-HR"/>
        </w:rPr>
        <w:t>URBROJ: 2196-19-02-25-01</w:t>
      </w:r>
    </w:p>
    <w:p>
      <w:pPr>
        <w:pStyle w:val="Normal"/>
        <w:rPr>
          <w:rFonts w:ascii="Times New Roman" w:hAnsi="Times New Roman"/>
        </w:rPr>
      </w:pPr>
      <w:r>
        <w:rPr>
          <w:rFonts w:ascii="Times New Roman" w:hAnsi="Times New Roman"/>
          <w:b w:val="false"/>
          <w:bCs w:val="false"/>
        </w:rPr>
        <w:t xml:space="preserve">Negoslavci, 15. rujna 2025. </w:t>
      </w:r>
    </w:p>
    <w:p>
      <w:pPr>
        <w:pStyle w:val="Normal"/>
        <w:rPr>
          <w:rFonts w:ascii="Times New Roman" w:hAnsi="Times New Roman"/>
          <w:lang w:val="hr-HR"/>
        </w:rPr>
      </w:pPr>
      <w:r>
        <w:rPr>
          <w:rFonts w:ascii="Times New Roman" w:hAnsi="Times New Roman"/>
          <w:lang w:val="hr-HR"/>
        </w:rPr>
      </w:r>
    </w:p>
    <w:p>
      <w:pPr>
        <w:pStyle w:val="Normal"/>
        <w:jc w:val="center"/>
        <w:rPr>
          <w:rFonts w:ascii="Times New Roman" w:hAnsi="Times New Roman"/>
        </w:rPr>
      </w:pPr>
      <w:r>
        <w:rPr>
          <w:rFonts w:ascii="Times New Roman" w:hAnsi="Times New Roman"/>
          <w:b/>
          <w:lang w:val="hr-HR"/>
        </w:rPr>
        <w:t>PREDSJEDNIK OPĆINSKOG VIJEĆA:</w:t>
      </w:r>
    </w:p>
    <w:p>
      <w:pPr>
        <w:pStyle w:val="Normal"/>
        <w:jc w:val="center"/>
        <w:rPr>
          <w:rFonts w:ascii="Times New Roman" w:hAnsi="Times New Roman"/>
        </w:rPr>
      </w:pPr>
      <w:r>
        <w:rPr>
          <w:rFonts w:ascii="Times New Roman" w:hAnsi="Times New Roman"/>
          <w:lang w:val="hr-HR"/>
        </w:rPr>
        <w:t>Miodrag Mišanović</w:t>
      </w:r>
    </w:p>
    <w:p>
      <w:pPr>
        <w:pStyle w:val="Normal"/>
        <w:jc w:val="center"/>
        <w:rPr>
          <w:rFonts w:ascii="Times New Roman" w:hAnsi="Times New Roman"/>
        </w:rPr>
      </w:pPr>
      <w:r>
        <w:rPr/>
        <w:drawing>
          <wp:inline distT="0" distB="0" distL="0" distR="0">
            <wp:extent cx="5761355" cy="36830"/>
            <wp:effectExtent l="0" t="0" r="0" b="0"/>
            <wp:docPr id="5" name="Slik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3" descr=""/>
                    <pic:cNvPicPr>
                      <a:picLocks noChangeAspect="1" noChangeArrowheads="1"/>
                    </pic:cNvPicPr>
                  </pic:nvPicPr>
                  <pic:blipFill>
                    <a:blip r:embed="rId15"/>
                    <a:stretch>
                      <a:fillRect/>
                    </a:stretch>
                  </pic:blipFill>
                  <pic:spPr bwMode="auto">
                    <a:xfrm>
                      <a:off x="0" y="0"/>
                      <a:ext cx="5761355" cy="36830"/>
                    </a:xfrm>
                    <a:prstGeom prst="rect">
                      <a:avLst/>
                    </a:prstGeom>
                  </pic:spPr>
                </pic:pic>
              </a:graphicData>
            </a:graphic>
          </wp:inline>
        </w:drawing>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hanging="0"/>
        <w:jc w:val="both"/>
        <w:rPr>
          <w:rFonts w:ascii="Times New Roman" w:hAnsi="Times New Roman"/>
        </w:rPr>
      </w:pPr>
      <w:r>
        <w:rPr>
          <w:rFonts w:eastAsia="Times New Roman" w:cs="Times New Roman" w:ascii="Times New Roman" w:hAnsi="Times New Roman"/>
          <w:sz w:val="24"/>
          <w:szCs w:val="24"/>
          <w:lang w:eastAsia="hr-HR"/>
        </w:rPr>
        <w:tab/>
        <w:t>Na temelju članaka 9. stavka 2., članka 10. stavka 2. Zakona o savjetima mladih ("Narodne novine", broj 41/14 i 83/23) i članka 6. i 7. Odluke o osnivanju Savjeta mladih Općine Negoslavci („Službeni glasnik Općine Negoslavci”, broj 8/23), Odbor za izbor i imenovanje Općinskog vijeća Općine Negoslavci da</w:t>
      </w:r>
      <w:r>
        <w:rPr>
          <w:rFonts w:eastAsia="Times New Roman" w:cs="Times New Roman" w:ascii="Times New Roman" w:hAnsi="Times New Roman"/>
          <w:color w:val="000000"/>
          <w:sz w:val="24"/>
          <w:szCs w:val="24"/>
          <w:lang w:eastAsia="hr-HR"/>
        </w:rPr>
        <w:t>na 10. rujna 2025. ob</w:t>
      </w:r>
      <w:r>
        <w:rPr>
          <w:rFonts w:eastAsia="Times New Roman" w:cs="Times New Roman" w:ascii="Times New Roman" w:hAnsi="Times New Roman"/>
          <w:sz w:val="24"/>
          <w:szCs w:val="24"/>
          <w:lang w:eastAsia="hr-HR"/>
        </w:rPr>
        <w:t>javljuje</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 xml:space="preserve"> </w:t>
      </w:r>
    </w:p>
    <w:p>
      <w:pPr>
        <w:pStyle w:val="Normal"/>
        <w:bidi w:val="0"/>
        <w:spacing w:before="0" w:after="0"/>
        <w:jc w:val="center"/>
        <w:rPr>
          <w:rFonts w:ascii="Times New Roman" w:hAnsi="Times New Roman"/>
        </w:rPr>
      </w:pPr>
      <w:r>
        <w:rPr>
          <w:rFonts w:eastAsia="Times New Roman" w:cs="Times New Roman" w:ascii="Times New Roman" w:hAnsi="Times New Roman"/>
          <w:b/>
          <w:sz w:val="24"/>
          <w:szCs w:val="24"/>
          <w:lang w:eastAsia="hr-HR"/>
        </w:rPr>
        <w:t xml:space="preserve">JAVNI POZIV </w:t>
      </w:r>
      <w:r>
        <w:rPr>
          <w:rFonts w:eastAsia="Times New Roman" w:cs="Times New Roman" w:ascii="Times New Roman" w:hAnsi="Times New Roman"/>
          <w:b/>
          <w:bCs/>
          <w:sz w:val="24"/>
          <w:szCs w:val="24"/>
          <w:lang w:eastAsia="hr-HR"/>
        </w:rPr>
        <w:br/>
        <w:t xml:space="preserve">za isticanje kandidatura za izbor članova  </w:t>
      </w:r>
      <w:r>
        <w:rPr>
          <w:rFonts w:eastAsia="Times New Roman" w:cs="Times New Roman" w:ascii="Times New Roman" w:hAnsi="Times New Roman"/>
          <w:bCs/>
          <w:sz w:val="24"/>
          <w:szCs w:val="24"/>
          <w:lang w:eastAsia="hr-HR"/>
        </w:rPr>
        <w:br/>
      </w:r>
      <w:r>
        <w:rPr>
          <w:rFonts w:eastAsia="Times New Roman" w:cs="Times New Roman" w:ascii="Times New Roman" w:hAnsi="Times New Roman"/>
          <w:b/>
          <w:bCs/>
          <w:sz w:val="24"/>
          <w:szCs w:val="24"/>
          <w:lang w:eastAsia="hr-HR"/>
        </w:rPr>
        <w:t xml:space="preserve">Savjeta mladih Općine Negoslavci </w:t>
      </w:r>
    </w:p>
    <w:p>
      <w:pPr>
        <w:pStyle w:val="Normal"/>
        <w:bidi w:val="0"/>
        <w:spacing w:before="0" w:after="0"/>
        <w:jc w:val="center"/>
        <w:rPr>
          <w:rFonts w:ascii="Times New Roman" w:hAnsi="Times New Roman" w:eastAsia="Times New Roman" w:cs="Times New Roman"/>
          <w:b/>
          <w:b/>
          <w:bCs/>
          <w:sz w:val="24"/>
          <w:szCs w:val="24"/>
          <w:lang w:eastAsia="hr-HR"/>
        </w:rPr>
      </w:pPr>
      <w:r>
        <w:rPr>
          <w:rFonts w:eastAsia="Times New Roman" w:cs="Times New Roman" w:ascii="Times New Roman" w:hAnsi="Times New Roman"/>
          <w:b/>
          <w:bCs/>
          <w:sz w:val="24"/>
          <w:szCs w:val="24"/>
          <w:lang w:eastAsia="hr-HR"/>
        </w:rPr>
      </w:r>
    </w:p>
    <w:p>
      <w:pPr>
        <w:pStyle w:val="Normal"/>
        <w:bidi w:val="0"/>
        <w:spacing w:before="0" w:after="0"/>
        <w:ind w:left="3552" w:firstLine="696"/>
        <w:jc w:val="both"/>
        <w:rPr>
          <w:rFonts w:ascii="Times New Roman" w:hAnsi="Times New Roman"/>
        </w:rPr>
      </w:pPr>
      <w:r>
        <w:rPr>
          <w:rFonts w:eastAsia="Times New Roman" w:cs="Times New Roman" w:ascii="Times New Roman" w:hAnsi="Times New Roman"/>
          <w:b/>
          <w:bCs/>
          <w:iCs/>
          <w:sz w:val="24"/>
          <w:szCs w:val="24"/>
          <w:lang w:eastAsia="hr-HR"/>
        </w:rPr>
        <w:t>I.</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Odbor za izbor i imenovanje Općinskog vijeća Općine Negoslavci pokreće postupak izbora članova Savjeta mladih Općine Negoslavci</w:t>
      </w:r>
      <w:r>
        <w:rPr>
          <w:rFonts w:eastAsia="Times New Roman" w:cs="Times New Roman" w:ascii="Times New Roman" w:hAnsi="Times New Roman"/>
          <w:b/>
          <w:bCs/>
          <w:sz w:val="24"/>
          <w:szCs w:val="24"/>
          <w:lang w:eastAsia="hr-HR"/>
        </w:rPr>
        <w:t xml:space="preserve"> </w:t>
      </w:r>
      <w:r>
        <w:rPr>
          <w:rFonts w:eastAsia="Times New Roman" w:cs="Times New Roman" w:ascii="Times New Roman" w:hAnsi="Times New Roman"/>
          <w:sz w:val="24"/>
          <w:szCs w:val="24"/>
          <w:lang w:eastAsia="hr-HR"/>
        </w:rPr>
        <w:t>koji se osniva u cilju sudjelovanja mladih u odlučivanju o upravljanju javnim poslovima od interesa i značaja za mlade, aktivnog uključivanja mladih u javni život, te informiranja i savjetovanja mladih Općine Negoslavci.</w:t>
      </w:r>
    </w:p>
    <w:p>
      <w:pPr>
        <w:pStyle w:val="Normal"/>
        <w:bidi w:val="0"/>
        <w:spacing w:lineRule="auto" w:line="240" w:before="0" w:after="0"/>
        <w:jc w:val="both"/>
        <w:rPr>
          <w:rFonts w:ascii="Times New Roman" w:hAnsi="Times New Roman" w:eastAsia="Times New Roman" w:cs="Times New Roman"/>
          <w:b/>
          <w:b/>
          <w:bCs/>
          <w:sz w:val="24"/>
          <w:szCs w:val="24"/>
          <w:lang w:eastAsia="hr-HR"/>
        </w:rPr>
      </w:pPr>
      <w:r>
        <w:rPr>
          <w:rFonts w:eastAsia="Times New Roman" w:cs="Times New Roman" w:ascii="Times New Roman" w:hAnsi="Times New Roman"/>
          <w:b/>
          <w:bCs/>
          <w:sz w:val="24"/>
          <w:szCs w:val="24"/>
          <w:lang w:eastAsia="hr-HR"/>
        </w:rPr>
      </w:r>
    </w:p>
    <w:p>
      <w:pPr>
        <w:pStyle w:val="Normal"/>
        <w:bidi w:val="0"/>
        <w:spacing w:before="0" w:after="0"/>
        <w:ind w:left="3552" w:firstLine="696"/>
        <w:jc w:val="both"/>
        <w:rPr>
          <w:rFonts w:ascii="Times New Roman" w:hAnsi="Times New Roman"/>
        </w:rPr>
      </w:pPr>
      <w:r>
        <w:rPr>
          <w:rFonts w:eastAsia="Times New Roman" w:cs="Times New Roman" w:ascii="Times New Roman" w:hAnsi="Times New Roman"/>
          <w:b/>
          <w:bCs/>
          <w:iCs/>
          <w:sz w:val="24"/>
          <w:szCs w:val="24"/>
          <w:lang w:eastAsia="hr-HR"/>
        </w:rPr>
        <w:t xml:space="preserve">II. </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Savjet mladih Općine Negoslavci</w:t>
      </w:r>
      <w:r>
        <w:rPr>
          <w:rFonts w:eastAsia="Times New Roman" w:cs="Times New Roman" w:ascii="Times New Roman" w:hAnsi="Times New Roman"/>
          <w:b/>
          <w:bCs/>
          <w:sz w:val="24"/>
          <w:szCs w:val="24"/>
          <w:lang w:eastAsia="hr-HR"/>
        </w:rPr>
        <w:t xml:space="preserve"> </w:t>
      </w:r>
      <w:r>
        <w:rPr>
          <w:rFonts w:eastAsia="Times New Roman" w:cs="Times New Roman" w:ascii="Times New Roman" w:hAnsi="Times New Roman"/>
          <w:sz w:val="24"/>
          <w:szCs w:val="24"/>
          <w:lang w:eastAsia="hr-HR"/>
        </w:rPr>
        <w:t>savjetodavno je tijelo Općine Negoslavci</w:t>
      </w:r>
      <w:r>
        <w:rPr>
          <w:rFonts w:eastAsia="Times New Roman" w:cs="Times New Roman" w:ascii="Times New Roman" w:hAnsi="Times New Roman"/>
          <w:b/>
          <w:bCs/>
          <w:sz w:val="24"/>
          <w:szCs w:val="24"/>
          <w:lang w:eastAsia="hr-HR"/>
        </w:rPr>
        <w:t xml:space="preserve"> </w:t>
      </w:r>
      <w:r>
        <w:rPr>
          <w:rFonts w:eastAsia="Times New Roman" w:cs="Times New Roman" w:ascii="Times New Roman" w:hAnsi="Times New Roman"/>
          <w:sz w:val="24"/>
          <w:szCs w:val="24"/>
          <w:lang w:eastAsia="hr-HR"/>
        </w:rPr>
        <w:t>koje promiče i zagovara prava, potrebe i interese mladih Općine Negoslavci.</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Savjet mladih Općine Negoslavci</w:t>
      </w:r>
      <w:r>
        <w:rPr>
          <w:rFonts w:eastAsia="Times New Roman" w:cs="Times New Roman" w:ascii="Times New Roman" w:hAnsi="Times New Roman"/>
          <w:b/>
          <w:bCs/>
          <w:sz w:val="24"/>
          <w:szCs w:val="24"/>
          <w:lang w:eastAsia="hr-HR"/>
        </w:rPr>
        <w:t xml:space="preserve"> </w:t>
      </w:r>
      <w:r>
        <w:rPr>
          <w:rFonts w:eastAsia="Times New Roman" w:cs="Times New Roman" w:ascii="Times New Roman" w:hAnsi="Times New Roman"/>
          <w:sz w:val="24"/>
          <w:szCs w:val="24"/>
          <w:lang w:eastAsia="hr-HR"/>
        </w:rPr>
        <w:t xml:space="preserve">ima 5 članova uključujući predsjednika i zamjenika. </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Za člana Savjeta mogu se kandidirati osobe s prebivalištem ili boravištem na području Općine Negoslavci</w:t>
      </w:r>
      <w:r>
        <w:rPr>
          <w:rFonts w:eastAsia="Times New Roman" w:cs="Times New Roman" w:ascii="Times New Roman" w:hAnsi="Times New Roman"/>
          <w:b/>
          <w:bCs/>
          <w:sz w:val="24"/>
          <w:szCs w:val="24"/>
          <w:lang w:eastAsia="hr-HR"/>
        </w:rPr>
        <w:t xml:space="preserve"> </w:t>
      </w:r>
      <w:r>
        <w:rPr>
          <w:rFonts w:eastAsia="Times New Roman" w:cs="Times New Roman" w:ascii="Times New Roman" w:hAnsi="Times New Roman"/>
          <w:sz w:val="24"/>
          <w:szCs w:val="24"/>
          <w:lang w:eastAsia="hr-HR"/>
        </w:rPr>
        <w:t xml:space="preserve">koji u trenutku podnošenja kandidature imaju od navršenih 15 do navršenih 30 godina života. </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Članovi Savjeta mladih Općine Negoslavci</w:t>
      </w:r>
      <w:r>
        <w:rPr>
          <w:rFonts w:eastAsia="Times New Roman" w:cs="Times New Roman" w:ascii="Times New Roman" w:hAnsi="Times New Roman"/>
          <w:b/>
          <w:bCs/>
          <w:sz w:val="24"/>
          <w:szCs w:val="24"/>
          <w:lang w:eastAsia="hr-HR"/>
        </w:rPr>
        <w:t xml:space="preserve"> </w:t>
      </w:r>
      <w:r>
        <w:rPr>
          <w:rFonts w:eastAsia="Times New Roman" w:cs="Times New Roman" w:ascii="Times New Roman" w:hAnsi="Times New Roman"/>
          <w:sz w:val="24"/>
          <w:szCs w:val="24"/>
          <w:lang w:eastAsia="hr-HR"/>
        </w:rPr>
        <w:t>biraju se na razdoblje trajanja mandata Općinskog vijeća Općine Negoslavci koje ih je izabralo.</w:t>
      </w:r>
    </w:p>
    <w:p>
      <w:pPr>
        <w:pStyle w:val="Normal"/>
        <w:bidi w:val="0"/>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before="0" w:after="0"/>
        <w:ind w:left="720" w:hanging="0"/>
        <w:jc w:val="both"/>
        <w:rPr>
          <w:rFonts w:ascii="Times New Roman" w:hAnsi="Times New Roman"/>
        </w:rPr>
      </w:pPr>
      <w:r>
        <w:rPr>
          <w:rFonts w:eastAsia="Times New Roman" w:cs="Times New Roman" w:ascii="Times New Roman" w:hAnsi="Times New Roman"/>
          <w:iCs/>
          <w:sz w:val="24"/>
          <w:szCs w:val="24"/>
          <w:lang w:eastAsia="hr-HR"/>
        </w:rPr>
        <w:tab/>
        <w:tab/>
        <w:tab/>
        <w:tab/>
      </w:r>
      <w:r>
        <w:rPr>
          <w:rFonts w:eastAsia="Times New Roman" w:cs="Times New Roman" w:ascii="Times New Roman" w:hAnsi="Times New Roman"/>
          <w:b/>
          <w:bCs/>
          <w:iCs/>
          <w:sz w:val="24"/>
          <w:szCs w:val="24"/>
          <w:lang w:eastAsia="hr-HR"/>
        </w:rPr>
        <w:tab/>
        <w:t>III.</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Pozivaju se: udruge koje su sukladno statutu ciljno i prema djelatnostima opredijeljene za rad s mladima i za mlade, učenička vijeća, studentski zborovi, pomladci političkih stranaka, sindikalnih ili strukovnih organizacija u Republici Hrvatskoj i neformalne skupine mladih da podnesu kandidature za članove Savjeta mladih Općine Negoslavci.</w:t>
      </w:r>
    </w:p>
    <w:p>
      <w:pPr>
        <w:pStyle w:val="Normal"/>
        <w:bidi w:val="0"/>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before="0" w:after="0"/>
        <w:ind w:left="3540" w:firstLine="708"/>
        <w:jc w:val="both"/>
        <w:rPr>
          <w:rFonts w:ascii="Times New Roman" w:hAnsi="Times New Roman"/>
        </w:rPr>
      </w:pPr>
      <w:r>
        <w:rPr>
          <w:rFonts w:eastAsia="Times New Roman" w:cs="Times New Roman" w:ascii="Times New Roman" w:hAnsi="Times New Roman"/>
          <w:b/>
          <w:bCs/>
          <w:iCs/>
          <w:sz w:val="24"/>
          <w:szCs w:val="24"/>
          <w:lang w:eastAsia="hr-HR"/>
        </w:rPr>
        <w:t>IV.</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Pisane i obrazložene kandidature za članove Savjeta mladih Općine Negoslavci podnose se u roku 20 dana od dana objave javnog poziva, u pisanom obliku i obvezno sadrže:</w:t>
      </w:r>
    </w:p>
    <w:p>
      <w:pPr>
        <w:pStyle w:val="Normal"/>
        <w:numPr>
          <w:ilvl w:val="0"/>
          <w:numId w:val="1"/>
        </w:numPr>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naziv, sjedište, adresu, telefon i kontakt osobu ovlaštenog predlagatelja te potpis ovlaštenog predstavnika predlagatelja,</w:t>
      </w:r>
    </w:p>
    <w:p>
      <w:pPr>
        <w:pStyle w:val="Normal"/>
        <w:numPr>
          <w:ilvl w:val="0"/>
          <w:numId w:val="1"/>
        </w:numPr>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podatke o kandidatu ( ime i prezime, datum, godina i mjesto rođenja, OIB, adresu prebivališta ili boravišta, broj tel./mob., status – učenik, student, zaposlenik, podaci o obrazovanju),</w:t>
      </w:r>
    </w:p>
    <w:p>
      <w:pPr>
        <w:pStyle w:val="Normal"/>
        <w:numPr>
          <w:ilvl w:val="0"/>
          <w:numId w:val="1"/>
        </w:numPr>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obrazloženje prijedloga, te navesti razloge, odnosno istaknuti posebnosti zbog kojih  se predlaže kandidat,</w:t>
      </w:r>
    </w:p>
    <w:p>
      <w:pPr>
        <w:pStyle w:val="Normal"/>
        <w:numPr>
          <w:ilvl w:val="0"/>
          <w:numId w:val="1"/>
        </w:numPr>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izjave o prihvaćanju kandidature za člana,</w:t>
      </w:r>
    </w:p>
    <w:p>
      <w:pPr>
        <w:pStyle w:val="Default"/>
        <w:numPr>
          <w:ilvl w:val="0"/>
          <w:numId w:val="1"/>
        </w:numPr>
        <w:jc w:val="both"/>
        <w:rPr>
          <w:rFonts w:ascii="Times New Roman" w:hAnsi="Times New Roman"/>
        </w:rPr>
      </w:pPr>
      <w:r>
        <w:rPr>
          <w:rFonts w:cs="Times New Roman" w:ascii="Times New Roman" w:hAnsi="Times New Roman"/>
        </w:rPr>
        <w:t xml:space="preserve">u slučaju prijave maloljetnog kandidata obvezan je obrazac o suglasnosti o prihvaćanju kandidature potpisan od roditelja ili zakonskog skrbnika; </w:t>
      </w:r>
    </w:p>
    <w:p>
      <w:pPr>
        <w:pStyle w:val="Normal"/>
        <w:bidi w:val="0"/>
        <w:spacing w:lineRule="auto" w:line="240" w:before="0" w:after="0"/>
        <w:ind w:left="360" w:hanging="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Nepravovremene i nepotpune kandidature neće se razmatrati.</w:t>
      </w:r>
    </w:p>
    <w:p>
      <w:pPr>
        <w:pStyle w:val="Normal"/>
        <w:bidi w:val="0"/>
        <w:spacing w:lineRule="auto" w:line="240" w:before="0" w:after="0"/>
        <w:ind w:left="3540" w:firstLine="708"/>
        <w:jc w:val="left"/>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ind w:left="3540" w:firstLine="708"/>
        <w:jc w:val="left"/>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ind w:left="3540" w:firstLine="708"/>
        <w:jc w:val="left"/>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ind w:left="3540" w:firstLine="708"/>
        <w:jc w:val="left"/>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ind w:left="3540" w:firstLine="708"/>
        <w:jc w:val="left"/>
        <w:rPr>
          <w:rFonts w:ascii="Times New Roman" w:hAnsi="Times New Roman"/>
        </w:rPr>
      </w:pPr>
      <w:r>
        <w:rPr>
          <w:rFonts w:eastAsia="Times New Roman" w:cs="Times New Roman" w:ascii="Times New Roman" w:hAnsi="Times New Roman"/>
          <w:b/>
          <w:bCs/>
          <w:sz w:val="24"/>
          <w:szCs w:val="24"/>
          <w:lang w:eastAsia="hr-HR"/>
        </w:rPr>
        <w:t>V.</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Kandidature se podnose na prijavnici objavljenoj na web stranici Općine Negoslavci. Predlagatelj je dužan uz kandidaturu dostaviti dokumentaciju iz koje je vidljivo da kandidat ispunjava uvjete iz točke IV. ovog poziva (preslika osobne iskaznice).</w:t>
      </w:r>
    </w:p>
    <w:p>
      <w:pPr>
        <w:pStyle w:val="Normal"/>
        <w:bidi w:val="0"/>
        <w:spacing w:before="0" w:after="0"/>
        <w:jc w:val="both"/>
        <w:rPr>
          <w:rFonts w:ascii="Times New Roman" w:hAnsi="Times New Roman"/>
        </w:rPr>
      </w:pPr>
      <w:r>
        <w:rPr>
          <w:rFonts w:cs="Times New Roman" w:ascii="Times New Roman" w:hAnsi="Times New Roman"/>
          <w:sz w:val="24"/>
          <w:szCs w:val="24"/>
        </w:rPr>
        <w:t>Ako na javni poziv ne pristigne minimalno 5 važećih kandidatura, javni poziv za isticanje kandidatura ponovit će se najkasnije u roku od šest mjeseci od dana objave prethodnog javnog poziva.</w:t>
      </w:r>
    </w:p>
    <w:p>
      <w:pPr>
        <w:pStyle w:val="Normal"/>
        <w:bidi w:val="0"/>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ind w:left="3540" w:firstLine="708"/>
        <w:jc w:val="left"/>
        <w:rPr>
          <w:rFonts w:ascii="Times New Roman" w:hAnsi="Times New Roman"/>
        </w:rPr>
      </w:pPr>
      <w:r>
        <w:rPr>
          <w:rFonts w:eastAsia="Times New Roman" w:cs="Times New Roman" w:ascii="Times New Roman" w:hAnsi="Times New Roman"/>
          <w:b/>
          <w:bCs/>
          <w:sz w:val="24"/>
          <w:szCs w:val="24"/>
          <w:lang w:eastAsia="hr-HR"/>
        </w:rPr>
        <w:t>VI.</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Kandidature za članove Savjeta mladih Općine Negoslavci dostavljaju se na adresu: Općina Negoslavci, Vukovarska 7, 32239 Negoslavci, (uz naznaku: „Prijedlog kandidature za izbor članova Savjeta mladih Općine Negoslavci“).</w:t>
      </w:r>
    </w:p>
    <w:p>
      <w:pPr>
        <w:pStyle w:val="Normal"/>
        <w:bidi w:val="0"/>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Sve dodatne informacije mogu se dobiti na tel. 032/517-054 ili osobno u tajništvu Odbora za izbor i imenovanje na navedenoj adresi.</w:t>
      </w:r>
    </w:p>
    <w:p>
      <w:pPr>
        <w:pStyle w:val="Normal"/>
        <w:bidi w:val="0"/>
        <w:spacing w:lineRule="auto" w:line="240" w:before="0" w:after="0"/>
        <w:jc w:val="left"/>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ind w:left="3540" w:firstLine="708"/>
        <w:jc w:val="left"/>
        <w:rPr>
          <w:rFonts w:ascii="Times New Roman" w:hAnsi="Times New Roman"/>
        </w:rPr>
      </w:pPr>
      <w:r>
        <w:rPr>
          <w:rFonts w:eastAsia="Times New Roman" w:cs="Times New Roman" w:ascii="Times New Roman" w:hAnsi="Times New Roman"/>
          <w:b/>
          <w:bCs/>
          <w:sz w:val="24"/>
          <w:szCs w:val="24"/>
          <w:lang w:eastAsia="hr-HR"/>
        </w:rPr>
        <w:t>VII.</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 xml:space="preserve">Javni poziv obavit će se na web stranici Općine Negoslavci.  </w:t>
      </w:r>
    </w:p>
    <w:p>
      <w:pPr>
        <w:pStyle w:val="Normal"/>
        <w:bidi w:val="0"/>
        <w:spacing w:lineRule="auto" w:line="240" w:before="0" w:after="0"/>
        <w:jc w:val="left"/>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bidi w:val="0"/>
        <w:spacing w:lineRule="auto" w:line="240" w:before="0" w:after="0"/>
        <w:ind w:left="3540" w:firstLine="708"/>
        <w:jc w:val="left"/>
        <w:rPr>
          <w:rFonts w:ascii="Times New Roman" w:hAnsi="Times New Roman"/>
        </w:rPr>
      </w:pPr>
      <w:r>
        <w:rPr>
          <w:rFonts w:eastAsia="Times New Roman" w:cs="Times New Roman" w:ascii="Times New Roman" w:hAnsi="Times New Roman"/>
          <w:b/>
          <w:bCs/>
          <w:sz w:val="24"/>
          <w:szCs w:val="24"/>
          <w:lang w:eastAsia="hr-HR"/>
        </w:rPr>
        <w:t>VIII.</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Odbor za izbor i imenovanje obavit će provjeru formalnih uvjeta prijavljenih kandidata te će u roku od 15 dana od dana isteka roka za podnošenje prijava sastaviti izvješće o provjeri formalnih uvjeta i utvrditi popis važećih kandidatura.</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Izvješće i popis iz prethodnog stavka dostavit će se Općinskom vijeću te će se objaviti na web stanici Općine Negoslavci.</w:t>
      </w:r>
    </w:p>
    <w:p>
      <w:pPr>
        <w:pStyle w:val="Normal"/>
        <w:bidi w:val="0"/>
        <w:spacing w:lineRule="auto" w:line="240" w:before="0" w:after="0"/>
        <w:jc w:val="both"/>
        <w:rPr>
          <w:rFonts w:ascii="Times New Roman" w:hAnsi="Times New Roman"/>
        </w:rPr>
      </w:pPr>
      <w:r>
        <w:rPr>
          <w:rFonts w:eastAsia="Times New Roman" w:cs="Times New Roman" w:ascii="Times New Roman" w:hAnsi="Times New Roman"/>
          <w:sz w:val="24"/>
          <w:szCs w:val="24"/>
          <w:lang w:eastAsia="hr-HR"/>
        </w:rPr>
        <w:t>Općinsko vijeće na prvoj sjednici nakon objave popisa važećih kandidatura raspravit će o izvješću o provjeri formalnih uvjeta, nakon čega će s popisa važećih kandidatura za članove Savjeta tajnim glasovanjem izabrati članove Savjeta Općine Negoslavci, nakon čega se donosi Odluka o izboru članova Savjeta mladih Općine Negoslavci.</w:t>
      </w:r>
    </w:p>
    <w:p>
      <w:pPr>
        <w:pStyle w:val="Normal"/>
        <w:bidi w:val="0"/>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before="0" w:after="0"/>
        <w:jc w:val="center"/>
        <w:rPr>
          <w:rFonts w:ascii="Times New Roman" w:hAnsi="Times New Roman"/>
        </w:rPr>
      </w:pPr>
      <w:r>
        <w:rPr>
          <w:rFonts w:cs="Times New Roman" w:ascii="Times New Roman" w:hAnsi="Times New Roman"/>
          <w:b/>
          <w:bCs/>
          <w:sz w:val="24"/>
          <w:szCs w:val="24"/>
        </w:rPr>
        <w:t>IX.</w:t>
      </w:r>
    </w:p>
    <w:p>
      <w:pPr>
        <w:pStyle w:val="Normal"/>
        <w:bidi w:val="0"/>
        <w:spacing w:before="0" w:after="0"/>
        <w:jc w:val="both"/>
        <w:rPr>
          <w:rFonts w:ascii="Times New Roman" w:hAnsi="Times New Roman"/>
        </w:rPr>
      </w:pPr>
      <w:r>
        <w:rPr>
          <w:rFonts w:cs="Times New Roman" w:ascii="Times New Roman" w:hAnsi="Times New Roman"/>
          <w:sz w:val="24"/>
          <w:szCs w:val="24"/>
        </w:rPr>
        <w:t>Savjet se mora konstituirati u roku od 30 dana od dana objave rezultata izbora.</w:t>
      </w:r>
    </w:p>
    <w:p>
      <w:pPr>
        <w:pStyle w:val="Normal"/>
        <w:bidi w:val="0"/>
        <w:spacing w:before="0" w:after="0"/>
        <w:jc w:val="both"/>
        <w:rPr>
          <w:rFonts w:ascii="Times New Roman" w:hAnsi="Times New Roman"/>
        </w:rPr>
      </w:pPr>
      <w:r>
        <w:rPr>
          <w:rFonts w:cs="Times New Roman" w:ascii="Times New Roman" w:hAnsi="Times New Roman"/>
          <w:sz w:val="24"/>
          <w:szCs w:val="24"/>
        </w:rPr>
        <w:t>Konstituirajuću sjednicu Savjeta saziva predsjednik Općinskog vijeća. Do izbora predsjednika sjednicom predsjedava najstariji član Savjeta.</w:t>
      </w:r>
    </w:p>
    <w:p>
      <w:pPr>
        <w:pStyle w:val="Normal"/>
        <w:bidi w:val="0"/>
        <w:spacing w:before="0" w:after="0"/>
        <w:jc w:val="both"/>
        <w:rPr>
          <w:rFonts w:ascii="Times New Roman" w:hAnsi="Times New Roman"/>
        </w:rPr>
      </w:pPr>
      <w:r>
        <w:rPr>
          <w:rFonts w:cs="Times New Roman" w:ascii="Times New Roman" w:hAnsi="Times New Roman"/>
          <w:sz w:val="24"/>
          <w:szCs w:val="24"/>
        </w:rPr>
        <w:t>Savjet je konstituiran izborom predsjednika Savjeta.</w:t>
      </w:r>
    </w:p>
    <w:p>
      <w:pPr>
        <w:pStyle w:val="Normal"/>
        <w:bidi w:val="0"/>
        <w:spacing w:before="0" w:after="0"/>
        <w:jc w:val="both"/>
        <w:rPr>
          <w:rFonts w:ascii="Times New Roman" w:hAnsi="Times New Roman"/>
        </w:rPr>
      </w:pPr>
      <w:r>
        <w:rPr>
          <w:rFonts w:cs="Times New Roman" w:ascii="Times New Roman" w:hAnsi="Times New Roman"/>
          <w:sz w:val="24"/>
          <w:szCs w:val="24"/>
        </w:rPr>
        <w:t>Ako Savjet u roku od 30 dana od dana proglašenja službenih rezultata izbora za članove Savjeta ne izabere predsjednika, Općinsko vijeće objavit će novi javni poziv za izbor članova Savjeta.</w:t>
      </w:r>
    </w:p>
    <w:p>
      <w:pPr>
        <w:pStyle w:val="Normal"/>
        <w:bidi w:val="0"/>
        <w:spacing w:before="0" w:after="0"/>
        <w:jc w:val="both"/>
        <w:rPr>
          <w:rFonts w:ascii="Times New Roman" w:hAnsi="Times New Roman"/>
        </w:rPr>
      </w:pPr>
      <w:r>
        <w:rPr>
          <w:rFonts w:cs="Times New Roman" w:ascii="Times New Roman" w:hAnsi="Times New Roman"/>
          <w:sz w:val="24"/>
          <w:szCs w:val="24"/>
        </w:rPr>
        <w:t>Obavijest o konstituiranju Savjeta objavit će se na web stranici Općine Negoslavci.</w:t>
      </w:r>
    </w:p>
    <w:p>
      <w:pPr>
        <w:pStyle w:val="Normal"/>
        <w:bidi w:val="0"/>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bidi w:val="0"/>
        <w:spacing w:before="0" w:after="0"/>
        <w:jc w:val="left"/>
        <w:rPr>
          <w:rFonts w:ascii="Times New Roman" w:hAnsi="Times New Roman"/>
        </w:rPr>
      </w:pPr>
      <w:r>
        <w:rPr>
          <w:rFonts w:eastAsia="Times New Roman" w:cs="Times New Roman" w:ascii="Times New Roman" w:hAnsi="Times New Roman"/>
          <w:b w:val="false"/>
          <w:bCs w:val="false"/>
          <w:sz w:val="24"/>
          <w:szCs w:val="24"/>
          <w:lang w:eastAsia="hr-HR"/>
        </w:rPr>
        <w:t>KLASA: 029-04/2</w:t>
      </w:r>
      <w:r>
        <w:rPr>
          <w:rFonts w:eastAsia="Times New Roman" w:cs="Times New Roman" w:ascii="Times New Roman" w:hAnsi="Times New Roman"/>
          <w:b w:val="false"/>
          <w:bCs w:val="false"/>
          <w:color w:val="000000"/>
          <w:sz w:val="24"/>
          <w:szCs w:val="24"/>
          <w:lang w:eastAsia="hr-HR"/>
        </w:rPr>
        <w:t>5-01/01</w:t>
      </w:r>
    </w:p>
    <w:p>
      <w:pPr>
        <w:pStyle w:val="Normal"/>
        <w:bidi w:val="0"/>
        <w:spacing w:before="0" w:after="0"/>
        <w:jc w:val="left"/>
        <w:rPr>
          <w:rFonts w:ascii="Times New Roman" w:hAnsi="Times New Roman"/>
        </w:rPr>
      </w:pPr>
      <w:r>
        <w:rPr>
          <w:rFonts w:eastAsia="Times New Roman" w:cs="Times New Roman" w:ascii="Times New Roman" w:hAnsi="Times New Roman"/>
          <w:b w:val="false"/>
          <w:bCs w:val="false"/>
          <w:color w:val="000000"/>
          <w:sz w:val="24"/>
          <w:szCs w:val="24"/>
          <w:lang w:eastAsia="hr-HR"/>
        </w:rPr>
        <w:t>URBROJ: 2196-19-02-25-01</w:t>
      </w:r>
    </w:p>
    <w:p>
      <w:pPr>
        <w:pStyle w:val="Normal"/>
        <w:bidi w:val="0"/>
        <w:spacing w:before="0" w:after="0"/>
        <w:jc w:val="left"/>
        <w:rPr>
          <w:rFonts w:ascii="Times New Roman" w:hAnsi="Times New Roman"/>
        </w:rPr>
      </w:pPr>
      <w:r>
        <w:rPr>
          <w:rFonts w:eastAsia="Times New Roman" w:cs="Times New Roman" w:ascii="Times New Roman" w:hAnsi="Times New Roman"/>
          <w:bCs/>
          <w:sz w:val="24"/>
          <w:szCs w:val="24"/>
          <w:lang w:eastAsia="hr-HR"/>
        </w:rPr>
        <w:t>U Negoslavci</w:t>
      </w:r>
      <w:r>
        <w:rPr>
          <w:rFonts w:eastAsia="Times New Roman" w:cs="Times New Roman" w:ascii="Times New Roman" w:hAnsi="Times New Roman"/>
          <w:bCs/>
          <w:color w:val="000000"/>
          <w:sz w:val="24"/>
          <w:szCs w:val="24"/>
          <w:lang w:eastAsia="hr-HR"/>
        </w:rPr>
        <w:t>ma 10. rujna 2025.</w:t>
      </w:r>
    </w:p>
    <w:p>
      <w:pPr>
        <w:pStyle w:val="Normal"/>
        <w:bidi w:val="0"/>
        <w:spacing w:before="0" w:after="0"/>
        <w:jc w:val="center"/>
        <w:rPr>
          <w:rFonts w:ascii="Times New Roman" w:hAnsi="Times New Roman"/>
        </w:rPr>
      </w:pPr>
      <w:r>
        <w:rPr>
          <w:rFonts w:eastAsia="Times New Roman" w:cs="Times New Roman" w:ascii="Times New Roman" w:hAnsi="Times New Roman"/>
          <w:b/>
          <w:sz w:val="24"/>
          <w:szCs w:val="24"/>
          <w:lang w:eastAsia="hr-HR"/>
        </w:rPr>
        <w:t>OPĆINSKO VIJEĆE</w:t>
      </w:r>
    </w:p>
    <w:p>
      <w:pPr>
        <w:pStyle w:val="Normal"/>
        <w:bidi w:val="0"/>
        <w:spacing w:before="0" w:after="0"/>
        <w:jc w:val="center"/>
        <w:rPr>
          <w:rFonts w:ascii="Times New Roman" w:hAnsi="Times New Roman"/>
        </w:rPr>
      </w:pPr>
      <w:r>
        <w:rPr>
          <w:rFonts w:eastAsia="Times New Roman" w:cs="Times New Roman" w:ascii="Times New Roman" w:hAnsi="Times New Roman"/>
          <w:b/>
          <w:sz w:val="24"/>
          <w:szCs w:val="24"/>
          <w:lang w:eastAsia="hr-HR"/>
        </w:rPr>
        <w:t xml:space="preserve">Odbor za izbor i imenovanje </w:t>
      </w:r>
    </w:p>
    <w:p>
      <w:pPr>
        <w:pStyle w:val="Normal"/>
        <w:bidi w:val="0"/>
        <w:spacing w:before="0" w:after="0"/>
        <w:jc w:val="center"/>
        <w:rPr>
          <w:rFonts w:ascii="Times New Roman" w:hAnsi="Times New Roman"/>
        </w:rPr>
      </w:pPr>
      <w:r>
        <w:rPr>
          <w:rFonts w:eastAsia="Times New Roman" w:cs="Times New Roman" w:ascii="Times New Roman" w:hAnsi="Times New Roman"/>
          <w:b/>
          <w:sz w:val="24"/>
          <w:szCs w:val="24"/>
          <w:lang w:eastAsia="hr-HR"/>
        </w:rPr>
        <w:t xml:space="preserve">predsjednica, </w:t>
      </w:r>
      <w:r>
        <w:rPr>
          <w:rFonts w:eastAsia="Times New Roman" w:cs="Times New Roman" w:ascii="Times New Roman" w:hAnsi="Times New Roman"/>
          <w:b w:val="false"/>
          <w:bCs w:val="false"/>
          <w:sz w:val="24"/>
          <w:szCs w:val="24"/>
          <w:lang w:eastAsia="hr-HR"/>
        </w:rPr>
        <w:t>Suzana Sredojević</w:t>
      </w:r>
    </w:p>
    <w:p>
      <w:pPr>
        <w:pStyle w:val="Normal"/>
        <w:jc w:val="center"/>
        <w:rPr>
          <w:rFonts w:ascii="Times New Roman" w:hAnsi="Times New Roman"/>
        </w:rPr>
      </w:pPr>
      <w:r>
        <w:rPr/>
        <w:drawing>
          <wp:inline distT="0" distB="0" distL="0" distR="0">
            <wp:extent cx="5761355" cy="36830"/>
            <wp:effectExtent l="0" t="0" r="0" b="0"/>
            <wp:docPr id="6" name="Slik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13" descr=""/>
                    <pic:cNvPicPr>
                      <a:picLocks noChangeAspect="1" noChangeArrowheads="1"/>
                    </pic:cNvPicPr>
                  </pic:nvPicPr>
                  <pic:blipFill>
                    <a:blip r:embed="rId16"/>
                    <a:stretch>
                      <a:fillRect/>
                    </a:stretch>
                  </pic:blipFill>
                  <pic:spPr bwMode="auto">
                    <a:xfrm>
                      <a:off x="0" y="0"/>
                      <a:ext cx="5761355" cy="36830"/>
                    </a:xfrm>
                    <a:prstGeom prst="rect">
                      <a:avLst/>
                    </a:prstGeom>
                  </pic:spPr>
                </pic:pic>
              </a:graphicData>
            </a:graphic>
          </wp:inline>
        </w:drawing>
      </w:r>
    </w:p>
    <w:sectPr>
      <w:headerReference w:type="even" r:id="rId17"/>
      <w:headerReference w:type="default" r:id="rId18"/>
      <w:type w:val="nextPage"/>
      <w:pgSz w:w="11906" w:h="16838"/>
      <w:pgMar w:left="1134" w:right="1134" w:gutter="0" w:header="1134" w:top="196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 w:name="Arial">
    <w:charset w:val="ee"/>
    <w:family w:val="roman"/>
    <w:pitch w:val="variable"/>
  </w:font>
  <w:font w:name="Cambria">
    <w:charset w:val="ee"/>
    <w:family w:val="roman"/>
    <w:pitch w:val="variable"/>
  </w:font>
  <w:font w:name="Arial Narrow">
    <w:charset w:val="ee"/>
    <w:family w:val="auto"/>
    <w:pitch w:val="default"/>
  </w:font>
  <w:font w:name="Calibri">
    <w:charset w:val="ee"/>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2</w:t>
    </w:r>
    <w:r>
      <w:rPr>
        <w:u w:val="single"/>
        <w:rFonts w:eastAsia="Times New Roman" w:cs="Times New Roman"/>
        <w:lang w:val="en-AU" w:eastAsia="hr-H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31</w:t>
    </w:r>
    <w:r>
      <w:rPr>
        <w:u w:val="single"/>
        <w:rFonts w:eastAsia="Times New Roman" w:cs="Times New Roman"/>
        <w:lang w:val="en-AU" w:eastAsia="hr-H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1</w:t>
    </w:r>
    <w:r>
      <w:rPr>
        <w:u w:val="single"/>
        <w:rFonts w:eastAsia="Times New Roman" w:cs="Times New Roman"/>
        <w:lang w:val="en-AU" w:eastAsia="hr-H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4</w:t>
    </w:r>
    <w:r>
      <w:rPr>
        <w:u w:val="single"/>
        <w:rFonts w:eastAsia="Times New Roman" w:cs="Times New Roman"/>
        <w:lang w:val="en-AU" w:eastAsia="hr-H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0</w:t>
    </w:r>
    <w:r>
      <w:rPr>
        <w:u w:val="single"/>
        <w:rFonts w:eastAsia="Times New Roman" w:cs="Times New Roman"/>
        <w:lang w:val="en-AU" w:eastAsia="hr-H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6</w:t>
    </w:r>
    <w:r>
      <w:rPr>
        <w:u w:val="single"/>
        <w:rFonts w:eastAsia="Times New Roman" w:cs="Times New Roman"/>
        <w:lang w:val="en-AU" w:eastAsia="hr-H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5</w:t>
    </w:r>
    <w:r>
      <w:rPr>
        <w:u w:val="single"/>
        <w:rFonts w:eastAsia="Times New Roman" w:cs="Times New Roman"/>
        <w:lang w:val="en-AU" w:eastAsia="hr-H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26</w:t>
    </w:r>
    <w:r>
      <w:rPr>
        <w:u w:val="single"/>
        <w:rFonts w:eastAsia="Times New Roman" w:cs="Times New Roman"/>
        <w:lang w:val="en-AU" w:eastAsia="hr-H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0</w:t>
    </w:r>
    <w:r>
      <w:rPr>
        <w:u w:val="single"/>
        <w:rFonts w:eastAsia="Times New Roman" w:cs="Times New Roman"/>
        <w:lang w:val="en-AU" w:eastAsia="hr-H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7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30</w:t>
    </w:r>
    <w:r>
      <w:rPr>
        <w:u w:val="single"/>
        <w:rFonts w:eastAsia="Times New Roman" w:cs="Times New Roman"/>
        <w:lang w:val="en-AU" w:eastAsia="hr-H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9"/>
  <w:autoHyphenation w:val="true"/>
  <w:hyphenationZone w:val="425"/>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r-HR" w:eastAsia="zh-CN" w:bidi="hi-IN"/>
    </w:rPr>
  </w:style>
  <w:style w:type="paragraph" w:styleId="Stilnaslova1">
    <w:name w:val="Heading 1"/>
    <w:basedOn w:val="Normal"/>
    <w:next w:val="Normal"/>
    <w:qFormat/>
    <w:pPr>
      <w:keepNext w:val="true"/>
      <w:numPr>
        <w:ilvl w:val="0"/>
        <w:numId w:val="2"/>
      </w:numPr>
      <w:outlineLvl w:val="0"/>
    </w:pPr>
    <w:rPr>
      <w:rFonts w:ascii="Times New Roman" w:hAnsi="Times New Roman" w:eastAsia="Times New Roman" w:cs="Times New Roman"/>
      <w:szCs w:val="20"/>
    </w:rPr>
  </w:style>
  <w:style w:type="paragraph" w:styleId="Stilnaslova2">
    <w:name w:val="Heading 2"/>
    <w:basedOn w:val="Normal"/>
    <w:next w:val="Normal"/>
    <w:qFormat/>
    <w:pPr>
      <w:keepNext w:val="true"/>
      <w:jc w:val="center"/>
      <w:outlineLvl w:val="1"/>
    </w:pPr>
    <w:rPr>
      <w:b/>
      <w:bCs/>
      <w:sz w:val="20"/>
    </w:rPr>
  </w:style>
  <w:style w:type="paragraph" w:styleId="Stilnaslova3">
    <w:name w:val="Heading 3"/>
    <w:next w:val="Normal"/>
    <w:qFormat/>
    <w:pPr>
      <w:keepNext w:val="true"/>
      <w:keepLines/>
      <w:widowControl/>
      <w:suppressAutoHyphens w:val="true"/>
      <w:bidi w:val="0"/>
      <w:spacing w:lineRule="auto" w:line="259" w:before="0" w:after="164"/>
      <w:ind w:left="96" w:hanging="10"/>
      <w:jc w:val="left"/>
      <w:outlineLvl w:val="2"/>
    </w:pPr>
    <w:rPr>
      <w:rFonts w:ascii="Liberation Serif" w:hAnsi="Liberation Serif" w:eastAsia="Times New Roman" w:cs="Times New Roman"/>
      <w:color w:val="000000"/>
      <w:kern w:val="2"/>
      <w:sz w:val="26"/>
      <w:szCs w:val="24"/>
      <w:u w:val="single" w:color="000000"/>
      <w:lang w:val="en-GB" w:eastAsia="en-GB" w:bidi="hi-IN"/>
    </w:rPr>
  </w:style>
  <w:style w:type="paragraph" w:styleId="Stilnaslova4">
    <w:name w:val="Heading 4"/>
    <w:next w:val="Normal"/>
    <w:qFormat/>
    <w:pPr>
      <w:keepNext w:val="true"/>
      <w:keepLines/>
      <w:widowControl/>
      <w:suppressAutoHyphens w:val="true"/>
      <w:bidi w:val="0"/>
      <w:spacing w:lineRule="auto" w:line="259" w:before="0" w:after="0"/>
      <w:ind w:left="111" w:hanging="10"/>
      <w:jc w:val="left"/>
      <w:outlineLvl w:val="3"/>
    </w:pPr>
    <w:rPr>
      <w:rFonts w:ascii="Liberation Serif" w:hAnsi="Liberation Serif" w:eastAsia="Times New Roman" w:cs="Times New Roman"/>
      <w:color w:val="000000"/>
      <w:kern w:val="2"/>
      <w:sz w:val="24"/>
      <w:szCs w:val="24"/>
      <w:u w:val="single" w:color="000000"/>
      <w:lang w:val="en-GB" w:eastAsia="en-GB" w:bidi="hi-IN"/>
    </w:rPr>
  </w:style>
  <w:style w:type="paragraph" w:styleId="Stilnaslova5">
    <w:name w:val="Heading 5"/>
    <w:basedOn w:val="Normal"/>
    <w:next w:val="Normal"/>
    <w:qFormat/>
    <w:pPr>
      <w:keepNext w:val="true"/>
      <w:numPr>
        <w:ilvl w:val="4"/>
        <w:numId w:val="1"/>
      </w:numPr>
      <w:outlineLvl w:val="4"/>
    </w:pPr>
    <w:rPr>
      <w:b/>
      <w:bCs/>
    </w:rPr>
  </w:style>
  <w:style w:type="paragraph" w:styleId="Stilnaslova6">
    <w:name w:val="Heading 6"/>
    <w:basedOn w:val="Normal"/>
    <w:next w:val="Normal"/>
    <w:qFormat/>
    <w:pPr>
      <w:keepNext w:val="true"/>
      <w:numPr>
        <w:ilvl w:val="5"/>
        <w:numId w:val="1"/>
      </w:numPr>
      <w:ind w:firstLine="720"/>
      <w:jc w:val="both"/>
      <w:outlineLvl w:val="5"/>
    </w:pPr>
    <w:rPr>
      <w:b/>
      <w:bCs/>
    </w:rPr>
  </w:style>
  <w:style w:type="paragraph" w:styleId="Stilnaslova7">
    <w:name w:val="Heading 7"/>
    <w:basedOn w:val="Normal"/>
    <w:next w:val="Normal"/>
    <w:qFormat/>
    <w:pPr>
      <w:keepNext w:val="true"/>
      <w:numPr>
        <w:ilvl w:val="6"/>
        <w:numId w:val="1"/>
      </w:numPr>
      <w:ind w:left="720" w:hanging="0"/>
      <w:jc w:val="both"/>
      <w:outlineLvl w:val="6"/>
    </w:pPr>
    <w:rPr>
      <w:b/>
      <w:bCs/>
    </w:rPr>
  </w:style>
  <w:style w:type="paragraph" w:styleId="Stilnaslova8">
    <w:name w:val="Heading 8"/>
    <w:basedOn w:val="Normal"/>
    <w:next w:val="Normal"/>
    <w:qFormat/>
    <w:pPr>
      <w:keepNext w:val="true"/>
      <w:numPr>
        <w:ilvl w:val="7"/>
        <w:numId w:val="1"/>
      </w:numPr>
      <w:outlineLvl w:val="7"/>
    </w:pPr>
    <w:rPr/>
  </w:style>
  <w:style w:type="paragraph" w:styleId="Stilnaslova9">
    <w:name w:val="Heading 9"/>
    <w:basedOn w:val="Normal"/>
    <w:next w:val="Normal"/>
    <w:qFormat/>
    <w:pPr>
      <w:keepNext w:val="true"/>
      <w:numPr>
        <w:ilvl w:val="8"/>
        <w:numId w:val="1"/>
      </w:numPr>
      <w:ind w:left="780" w:hanging="0"/>
      <w:outlineLvl w:val="8"/>
    </w:pPr>
    <w:rPr/>
  </w:style>
  <w:style w:type="character" w:styleId="DefaultParagraphFont" w:default="1">
    <w:name w:val="Default Paragraph Font"/>
    <w:uiPriority w:val="1"/>
    <w:semiHidden/>
    <w:unhideWhenUsed/>
    <w:qFormat/>
    <w:rPr/>
  </w:style>
  <w:style w:type="character" w:styleId="Internetskapoveznica">
    <w:name w:val="Hyperlink"/>
    <w:uiPriority w:val="99"/>
    <w:rPr>
      <w:color w:val="000080"/>
      <w:u w:val="single"/>
    </w:rPr>
  </w:style>
  <w:style w:type="character" w:styleId="Simbolinumeriranja" w:customStyle="1">
    <w:name w:val="Simboli numeriranja"/>
    <w:qFormat/>
    <w:rPr/>
  </w:style>
  <w:style w:type="character" w:styleId="Znakovifusnota" w:customStyle="1">
    <w:name w:val="Znakovi fusnota"/>
    <w:qFormat/>
    <w:rPr/>
  </w:style>
  <w:style w:type="character" w:styleId="Sidrofusnote">
    <w:name w:val="Footnote Reference"/>
    <w:rPr>
      <w:vertAlign w:val="superscript"/>
    </w:rPr>
  </w:style>
  <w:style w:type="character" w:styleId="FootnoteCharacters" w:customStyle="1">
    <w:name w:val="Footnote Characters"/>
    <w:qFormat/>
    <w:rPr>
      <w:vertAlign w:val="superscript"/>
    </w:rPr>
  </w:style>
  <w:style w:type="character" w:styleId="Sidrozavrnebiljeke">
    <w:name w:val="Endnote Reference"/>
    <w:rPr>
      <w:vertAlign w:val="superscript"/>
    </w:rPr>
  </w:style>
  <w:style w:type="character" w:styleId="EndnoteCharacters" w:customStyle="1">
    <w:name w:val="Endnote Characters"/>
    <w:qFormat/>
    <w:rPr>
      <w:vertAlign w:val="superscript"/>
    </w:rPr>
  </w:style>
  <w:style w:type="character" w:styleId="Znakovizavrnihbiljeki" w:customStyle="1">
    <w:name w:val="Znakovi završnih bilješki"/>
    <w:qFormat/>
    <w:rPr/>
  </w:style>
  <w:style w:type="character" w:styleId="WW8Num3z0" w:customStyle="1">
    <w:name w:val="WW8Num3z0"/>
    <w:qFormat/>
    <w:rPr/>
  </w:style>
  <w:style w:type="character" w:styleId="WW8Num10z0" w:customStyle="1">
    <w:name w:val="WW8Num10z0"/>
    <w:qFormat/>
    <w:rPr>
      <w:rFonts w:ascii="Times New Roman" w:hAnsi="Times New Roman" w:cs="Times New Roman"/>
    </w:rPr>
  </w:style>
  <w:style w:type="character" w:styleId="WW8Num5z0" w:customStyle="1">
    <w:name w:val="WW8Num5z0"/>
    <w:qFormat/>
    <w:rPr>
      <w:rFonts w:ascii="Times New Roman" w:hAnsi="Times New Roman" w:cs="Times New Roman"/>
    </w:rPr>
  </w:style>
  <w:style w:type="character" w:styleId="WW8Num11z0" w:customStyle="1">
    <w:name w:val="WW8Num11z0"/>
    <w:qFormat/>
    <w:rPr/>
  </w:style>
  <w:style w:type="character" w:styleId="WW8Num4z0" w:customStyle="1">
    <w:name w:val="WW8Num4z0"/>
    <w:qFormat/>
    <w:rPr/>
  </w:style>
  <w:style w:type="character" w:styleId="WW8Num6z0" w:customStyle="1">
    <w:name w:val="WW8Num6z0"/>
    <w:qFormat/>
    <w:rPr/>
  </w:style>
  <w:style w:type="character" w:styleId="WW8Num9z0" w:customStyle="1">
    <w:name w:val="WW8Num9z0"/>
    <w:qFormat/>
    <w:rPr>
      <w:caps/>
    </w:rPr>
  </w:style>
  <w:style w:type="character" w:styleId="WW8Num2z0" w:customStyle="1">
    <w:name w:val="WW8Num2z0"/>
    <w:qFormat/>
    <w:rPr>
      <w:rFonts w:ascii="Times New Roman" w:hAnsi="Times New Roman" w:cs="Times New Roman"/>
    </w:rPr>
  </w:style>
  <w:style w:type="character" w:styleId="WW8Num7z0" w:customStyle="1">
    <w:name w:val="WW8Num7z0"/>
    <w:qFormat/>
    <w:rPr/>
  </w:style>
  <w:style w:type="character" w:styleId="BalloonTextChar" w:customStyle="1">
    <w:name w:val="Balloon Text Char"/>
    <w:basedOn w:val="DefaultParagraphFont"/>
    <w:link w:val="BalloonText"/>
    <w:uiPriority w:val="99"/>
    <w:semiHidden/>
    <w:qFormat/>
    <w:rsid w:val="00620cb4"/>
    <w:rPr>
      <w:rFonts w:ascii="Tahoma" w:hAnsi="Tahoma" w:cs="Mangal"/>
      <w:sz w:val="16"/>
      <w:szCs w:val="14"/>
    </w:rPr>
  </w:style>
  <w:style w:type="character" w:styleId="Posjeenainternetskapoveznica">
    <w:name w:val="FollowedHyperlink"/>
    <w:basedOn w:val="DefaultParagraphFont"/>
    <w:uiPriority w:val="99"/>
    <w:semiHidden/>
    <w:unhideWhenUsed/>
    <w:rsid w:val="009e7dba"/>
    <w:rPr>
      <w:color w:val="800080"/>
      <w:u w:val="single"/>
    </w:rPr>
  </w:style>
  <w:style w:type="character" w:styleId="Strong">
    <w:name w:val="Strong"/>
    <w:qFormat/>
    <w:rPr>
      <w:b/>
      <w:bCs/>
    </w:rPr>
  </w:style>
  <w:style w:type="character" w:styleId="Indeksnapoveznica">
    <w:name w:val="Indeksna poveznica"/>
    <w:qFormat/>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Caption">
    <w:name w:val="caption"/>
    <w:basedOn w:val="Normal"/>
    <w:qFormat/>
    <w:pPr>
      <w:suppressLineNumbers/>
      <w:spacing w:before="120" w:after="120"/>
    </w:pPr>
    <w:rPr>
      <w:i/>
      <w:iCs/>
    </w:rPr>
  </w:style>
  <w:style w:type="paragraph" w:styleId="ListParagraph">
    <w:name w:val="List Paragraph"/>
    <w:basedOn w:val="Normal"/>
    <w:qFormat/>
    <w:pPr>
      <w:spacing w:before="0" w:after="0"/>
      <w:ind w:left="720" w:hanging="0"/>
      <w:contextualSpacing/>
    </w:pPr>
    <w:rPr/>
  </w:style>
  <w:style w:type="paragraph" w:styleId="Uvlakatijelateksta">
    <w:name w:val="Body Text Indent"/>
    <w:basedOn w:val="Normal"/>
    <w:pPr>
      <w:suppressAutoHyphens w:val="false"/>
      <w:spacing w:lineRule="auto" w:line="276" w:before="0" w:after="120"/>
      <w:ind w:left="283" w:hanging="0"/>
    </w:pPr>
    <w:rPr>
      <w:rFonts w:ascii="Calibri" w:hAnsi="Calibri" w:eastAsia="Calibri"/>
      <w:kern w:val="0"/>
      <w:sz w:val="22"/>
      <w:szCs w:val="22"/>
      <w:lang w:eastAsia="en-US"/>
    </w:rPr>
  </w:style>
  <w:style w:type="paragraph" w:styleId="Tijeloteksta21" w:customStyle="1">
    <w:name w:val="Tijelo teksta 21"/>
    <w:basedOn w:val="Normal"/>
    <w:qFormat/>
    <w:pPr>
      <w:spacing w:lineRule="auto" w:line="480" w:before="0" w:after="120"/>
    </w:pPr>
    <w:rPr/>
  </w:style>
  <w:style w:type="paragraph" w:styleId="Sadrajitablice" w:customStyle="1">
    <w:name w:val="Sadržaji tablice"/>
    <w:basedOn w:val="Normal"/>
    <w:qFormat/>
    <w:pPr>
      <w:suppressLineNumbers/>
    </w:pPr>
    <w:rPr/>
  </w:style>
  <w:style w:type="paragraph" w:styleId="Zaglavljeipodnoje" w:customStyle="1">
    <w:name w:val="Zaglavlje i podnožje"/>
    <w:basedOn w:val="Normal"/>
    <w:qFormat/>
    <w:pPr>
      <w:suppressLineNumbers/>
      <w:tabs>
        <w:tab w:val="clear" w:pos="709"/>
        <w:tab w:val="center" w:pos="4819" w:leader="none"/>
        <w:tab w:val="right" w:pos="9638" w:leader="none"/>
      </w:tabs>
    </w:pPr>
    <w:rPr/>
  </w:style>
  <w:style w:type="paragraph" w:styleId="Zaglavlje">
    <w:name w:val="Header"/>
    <w:basedOn w:val="Zaglavljeipodnoje"/>
    <w:pPr/>
    <w:rPr/>
  </w:style>
  <w:style w:type="paragraph" w:styleId="NoSpacing">
    <w:name w:val="No Spacing"/>
    <w:qFormat/>
    <w:pPr>
      <w:widowControl/>
      <w:suppressAutoHyphens w:val="true"/>
      <w:bidi w:val="0"/>
      <w:spacing w:before="0" w:after="0"/>
      <w:ind w:left="130" w:right="166" w:firstLine="4"/>
      <w:jc w:val="both"/>
    </w:pPr>
    <w:rPr>
      <w:rFonts w:ascii="Liberation Serif" w:hAnsi="Liberation Serif" w:eastAsia="Times New Roman" w:cs="Times New Roman"/>
      <w:color w:val="000000"/>
      <w:kern w:val="2"/>
      <w:sz w:val="22"/>
      <w:szCs w:val="24"/>
      <w:lang w:val="en-GB" w:eastAsia="en-GB" w:bidi="hi-IN"/>
    </w:rPr>
  </w:style>
  <w:style w:type="paragraph" w:styleId="Naslovtablice" w:customStyle="1">
    <w:name w:val="Naslov tablice"/>
    <w:basedOn w:val="Sadrajitablice"/>
    <w:qFormat/>
    <w:pPr>
      <w:jc w:val="center"/>
    </w:pPr>
    <w:rPr>
      <w:b/>
      <w:bCs/>
    </w:rPr>
  </w:style>
  <w:style w:type="paragraph" w:styleId="Standard" w:customStyle="1">
    <w:name w:val="Standard"/>
    <w:qFormat/>
    <w:pPr>
      <w:widowControl/>
      <w:suppressAutoHyphens w:val="true"/>
      <w:bidi w:val="0"/>
      <w:spacing w:before="0" w:after="200"/>
      <w:jc w:val="both"/>
    </w:pPr>
    <w:rPr>
      <w:rFonts w:ascii="Calibri" w:hAnsi="Calibri" w:eastAsia="SimSun" w:cs="Tahoma"/>
      <w:color w:val="auto"/>
      <w:kern w:val="2"/>
      <w:sz w:val="24"/>
      <w:szCs w:val="24"/>
      <w:lang w:val="hr-HR" w:eastAsia="zh-CN" w:bidi="hi-IN"/>
    </w:rPr>
  </w:style>
  <w:style w:type="paragraph" w:styleId="Zaglavljelijevo" w:customStyle="1">
    <w:name w:val="Zaglavlje lijevo"/>
    <w:basedOn w:val="Zaglavlje"/>
    <w:qFormat/>
    <w:pPr/>
    <w:rPr/>
  </w:style>
  <w:style w:type="paragraph" w:styleId="Default" w:customStyle="1">
    <w:name w:val="Default"/>
    <w:qFormat/>
    <w:pPr>
      <w:widowControl/>
      <w:suppressAutoHyphens w:val="true"/>
      <w:bidi w:val="0"/>
      <w:spacing w:lineRule="auto" w:line="252" w:before="0" w:after="0"/>
      <w:jc w:val="left"/>
    </w:pPr>
    <w:rPr>
      <w:rFonts w:ascii="Liberation Serif" w:hAnsi="Liberation Serif" w:eastAsia="Times New Roman" w:cs="Times New Roman"/>
      <w:color w:val="000000"/>
      <w:kern w:val="2"/>
      <w:sz w:val="24"/>
      <w:szCs w:val="24"/>
      <w:lang w:val="hr-HR" w:eastAsia="zh-CN" w:bidi="hi-IN"/>
    </w:rPr>
  </w:style>
  <w:style w:type="paragraph" w:styleId="T98" w:customStyle="1">
    <w:name w:val="t-9-8"/>
    <w:basedOn w:val="Normal"/>
    <w:qFormat/>
    <w:pPr>
      <w:spacing w:beforeAutospacing="1" w:afterAutospacing="1"/>
    </w:pPr>
    <w:rPr>
      <w:rFonts w:ascii="Times New Roman" w:hAnsi="Times New Roman"/>
      <w:lang w:eastAsia="hr-HR"/>
    </w:rPr>
  </w:style>
  <w:style w:type="paragraph" w:styleId="Fusnota">
    <w:name w:val="Footnote Text"/>
    <w:basedOn w:val="Normal"/>
    <w:pPr>
      <w:suppressLineNumbers/>
      <w:ind w:left="340" w:hanging="340"/>
    </w:pPr>
    <w:rPr>
      <w:sz w:val="20"/>
      <w:szCs w:val="20"/>
    </w:rPr>
  </w:style>
  <w:style w:type="paragraph" w:styleId="Odlomakpopisa" w:customStyle="1">
    <w:name w:val="Odlomak popisa"/>
    <w:basedOn w:val="Normal"/>
    <w:qFormat/>
    <w:pPr>
      <w:spacing w:before="0" w:after="0"/>
      <w:ind w:left="720" w:hanging="0"/>
      <w:contextualSpacing/>
    </w:pPr>
    <w:rPr>
      <w:rFonts w:eastAsia="Calibri"/>
    </w:rPr>
  </w:style>
  <w:style w:type="paragraph" w:styleId="Tijeloteksta2" w:customStyle="1">
    <w:name w:val="Tijelo teksta 2"/>
    <w:basedOn w:val="Normal"/>
    <w:qFormat/>
    <w:pPr>
      <w:jc w:val="both"/>
    </w:pPr>
    <w:rPr/>
  </w:style>
  <w:style w:type="paragraph" w:styleId="BalloonText">
    <w:name w:val="Balloon Text"/>
    <w:basedOn w:val="Normal"/>
    <w:link w:val="BalloonTextChar"/>
    <w:uiPriority w:val="99"/>
    <w:semiHidden/>
    <w:unhideWhenUsed/>
    <w:qFormat/>
    <w:rsid w:val="00620cb4"/>
    <w:pPr/>
    <w:rPr>
      <w:rFonts w:ascii="Tahoma" w:hAnsi="Tahoma" w:cs="Mangal"/>
      <w:sz w:val="16"/>
      <w:szCs w:val="14"/>
    </w:rPr>
  </w:style>
  <w:style w:type="paragraph" w:styleId="Xl72" w:customStyle="1">
    <w:name w:val="xl72"/>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73" w:customStyle="1">
    <w:name w:val="xl73"/>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74" w:customStyle="1">
    <w:name w:val="xl74"/>
    <w:basedOn w:val="Normal"/>
    <w:qFormat/>
    <w:rsid w:val="009e7dba"/>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pPr>
    <w:rPr>
      <w:rFonts w:ascii="Times New Roman" w:hAnsi="Times New Roman" w:eastAsia="Times New Roman" w:cs="Times New Roman"/>
      <w:kern w:val="0"/>
      <w:lang w:eastAsia="hr-HR" w:bidi="ar-SA"/>
    </w:rPr>
  </w:style>
  <w:style w:type="paragraph" w:styleId="Xl75" w:customStyle="1">
    <w:name w:val="xl75"/>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76" w:customStyle="1">
    <w:name w:val="xl76"/>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lang w:eastAsia="hr-HR" w:bidi="ar-SA"/>
    </w:rPr>
  </w:style>
  <w:style w:type="paragraph" w:styleId="Xl77" w:customStyle="1">
    <w:name w:val="xl77"/>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lang w:eastAsia="hr-HR" w:bidi="ar-SA"/>
    </w:rPr>
  </w:style>
  <w:style w:type="paragraph" w:styleId="Xl78" w:customStyle="1">
    <w:name w:val="xl78"/>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79" w:customStyle="1">
    <w:name w:val="xl79"/>
    <w:basedOn w:val="Normal"/>
    <w:qFormat/>
    <w:rsid w:val="009e7dba"/>
    <w:pPr>
      <w:pBdr>
        <w:top w:val="single" w:sz="4" w:space="0" w:color="000000"/>
        <w:left w:val="single" w:sz="4" w:space="0" w:color="000000"/>
        <w:bottom w:val="single" w:sz="4" w:space="0" w:color="000000"/>
        <w:right w:val="single" w:sz="8"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80" w:customStyle="1">
    <w:name w:val="xl80"/>
    <w:basedOn w:val="Normal"/>
    <w:qFormat/>
    <w:rsid w:val="009e7dba"/>
    <w:pPr>
      <w:pBdr>
        <w:top w:val="single" w:sz="4" w:space="0" w:color="000000"/>
        <w:left w:val="single" w:sz="4" w:space="0" w:color="000000"/>
        <w:bottom w:val="single" w:sz="8" w:space="0" w:color="000000"/>
        <w:right w:val="single" w:sz="8"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81" w:customStyle="1">
    <w:name w:val="xl81"/>
    <w:basedOn w:val="Normal"/>
    <w:qFormat/>
    <w:rsid w:val="009e7dba"/>
    <w:pPr>
      <w:suppressAutoHyphens w:val="false"/>
      <w:spacing w:beforeAutospacing="1" w:afterAutospacing="1"/>
    </w:pPr>
    <w:rPr>
      <w:rFonts w:ascii="Arial" w:hAnsi="Arial" w:eastAsia="Times New Roman"/>
      <w:kern w:val="0"/>
      <w:sz w:val="18"/>
      <w:szCs w:val="18"/>
      <w:lang w:eastAsia="hr-HR" w:bidi="ar-SA"/>
    </w:rPr>
  </w:style>
  <w:style w:type="paragraph" w:styleId="Xl82" w:customStyle="1">
    <w:name w:val="xl82"/>
    <w:basedOn w:val="Normal"/>
    <w:qFormat/>
    <w:rsid w:val="009e7dba"/>
    <w:pPr>
      <w:pBdr>
        <w:top w:val="single" w:sz="4" w:space="0" w:color="000000"/>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83" w:customStyle="1">
    <w:name w:val="xl83"/>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kern w:val="0"/>
      <w:sz w:val="18"/>
      <w:szCs w:val="18"/>
      <w:lang w:eastAsia="hr-HR" w:bidi="ar-SA"/>
    </w:rPr>
  </w:style>
  <w:style w:type="paragraph" w:styleId="Xl84" w:customStyle="1">
    <w:name w:val="xl84"/>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85" w:customStyle="1">
    <w:name w:val="xl85"/>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86" w:customStyle="1">
    <w:name w:val="xl86"/>
    <w:basedOn w:val="Normal"/>
    <w:qFormat/>
    <w:rsid w:val="009e7dba"/>
    <w:pPr>
      <w:pBdr>
        <w:top w:val="single" w:sz="4" w:space="0" w:color="000000"/>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i/>
      <w:iCs/>
      <w:kern w:val="0"/>
      <w:sz w:val="18"/>
      <w:szCs w:val="18"/>
      <w:lang w:eastAsia="hr-HR" w:bidi="ar-SA"/>
    </w:rPr>
  </w:style>
  <w:style w:type="paragraph" w:styleId="Xl87" w:customStyle="1">
    <w:name w:val="xl87"/>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i/>
      <w:iCs/>
      <w:kern w:val="0"/>
      <w:sz w:val="18"/>
      <w:szCs w:val="18"/>
      <w:lang w:eastAsia="hr-HR" w:bidi="ar-SA"/>
    </w:rPr>
  </w:style>
  <w:style w:type="paragraph" w:styleId="Xl88" w:customStyle="1">
    <w:name w:val="xl88"/>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89" w:customStyle="1">
    <w:name w:val="xl89"/>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90" w:customStyle="1">
    <w:name w:val="xl90"/>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91" w:customStyle="1">
    <w:name w:val="xl91"/>
    <w:basedOn w:val="Normal"/>
    <w:qFormat/>
    <w:rsid w:val="009e7dba"/>
    <w:pPr>
      <w:pBdr>
        <w:top w:val="single" w:sz="4" w:space="0" w:color="000000"/>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92" w:customStyle="1">
    <w:name w:val="xl92"/>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93" w:customStyle="1">
    <w:name w:val="xl93"/>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94" w:customStyle="1">
    <w:name w:val="xl94"/>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95" w:customStyle="1">
    <w:name w:val="xl95"/>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96" w:customStyle="1">
    <w:name w:val="xl96"/>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i/>
      <w:iCs/>
      <w:kern w:val="0"/>
      <w:sz w:val="18"/>
      <w:szCs w:val="18"/>
      <w:lang w:eastAsia="hr-HR" w:bidi="ar-SA"/>
    </w:rPr>
  </w:style>
  <w:style w:type="paragraph" w:styleId="Xl97" w:customStyle="1">
    <w:name w:val="xl97"/>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b/>
      <w:bCs/>
      <w:i/>
      <w:iCs/>
      <w:kern w:val="0"/>
      <w:sz w:val="18"/>
      <w:szCs w:val="18"/>
      <w:lang w:eastAsia="hr-HR" w:bidi="ar-SA"/>
    </w:rPr>
  </w:style>
  <w:style w:type="paragraph" w:styleId="Xl98" w:customStyle="1">
    <w:name w:val="xl98"/>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99" w:customStyle="1">
    <w:name w:val="xl99"/>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00" w:customStyle="1">
    <w:name w:val="xl100"/>
    <w:basedOn w:val="Normal"/>
    <w:qFormat/>
    <w:rsid w:val="009e7dba"/>
    <w:pPr>
      <w:suppressAutoHyphens w:val="false"/>
      <w:spacing w:beforeAutospacing="1" w:afterAutospacing="1"/>
    </w:pPr>
    <w:rPr>
      <w:rFonts w:ascii="Arial" w:hAnsi="Arial" w:eastAsia="Times New Roman"/>
      <w:kern w:val="0"/>
      <w:lang w:eastAsia="hr-HR" w:bidi="ar-SA"/>
    </w:rPr>
  </w:style>
  <w:style w:type="paragraph" w:styleId="Xl101" w:customStyle="1">
    <w:name w:val="xl101"/>
    <w:basedOn w:val="Normal"/>
    <w:qFormat/>
    <w:rsid w:val="009e7dba"/>
    <w:pPr>
      <w:pBdr>
        <w:top w:val="single" w:sz="4" w:space="0" w:color="000000"/>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02" w:customStyle="1">
    <w:name w:val="xl102"/>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rFonts w:ascii="Arial" w:hAnsi="Arial" w:eastAsia="Times New Roman"/>
      <w:kern w:val="0"/>
      <w:sz w:val="18"/>
      <w:szCs w:val="18"/>
      <w:lang w:eastAsia="hr-HR" w:bidi="ar-SA"/>
    </w:rPr>
  </w:style>
  <w:style w:type="paragraph" w:styleId="Xl103" w:customStyle="1">
    <w:name w:val="xl103"/>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04" w:customStyle="1">
    <w:name w:val="xl104"/>
    <w:basedOn w:val="Normal"/>
    <w:qFormat/>
    <w:rsid w:val="009e7dba"/>
    <w:pPr>
      <w:pBdr>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05" w:customStyle="1">
    <w:name w:val="xl105"/>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06" w:customStyle="1">
    <w:name w:val="xl106"/>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107" w:customStyle="1">
    <w:name w:val="xl107"/>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108" w:customStyle="1">
    <w:name w:val="xl108"/>
    <w:basedOn w:val="Normal"/>
    <w:qFormat/>
    <w:rsid w:val="009e7dba"/>
    <w:pPr>
      <w:pBdr>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kern w:val="0"/>
      <w:sz w:val="18"/>
      <w:szCs w:val="18"/>
      <w:lang w:eastAsia="hr-HR" w:bidi="ar-SA"/>
    </w:rPr>
  </w:style>
  <w:style w:type="paragraph" w:styleId="Xl109" w:customStyle="1">
    <w:name w:val="xl109"/>
    <w:basedOn w:val="Normal"/>
    <w:qFormat/>
    <w:rsid w:val="009e7dba"/>
    <w:pPr>
      <w:pBdr>
        <w:left w:val="single" w:sz="4" w:space="0" w:color="000000"/>
        <w:bottom w:val="single" w:sz="4" w:space="0" w:color="000000"/>
        <w:right w:val="single" w:sz="8"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110" w:customStyle="1">
    <w:name w:val="xl110"/>
    <w:basedOn w:val="Normal"/>
    <w:qFormat/>
    <w:rsid w:val="009e7dba"/>
    <w:pPr>
      <w:pBdr>
        <w:top w:val="single" w:sz="8" w:space="0" w:color="000000"/>
        <w:left w:val="single" w:sz="8"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11" w:customStyle="1">
    <w:name w:val="xl111"/>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12" w:customStyle="1">
    <w:name w:val="xl112"/>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i/>
      <w:iCs/>
      <w:kern w:val="0"/>
      <w:sz w:val="18"/>
      <w:szCs w:val="18"/>
      <w:lang w:eastAsia="hr-HR" w:bidi="ar-SA"/>
    </w:rPr>
  </w:style>
  <w:style w:type="paragraph" w:styleId="Xl113" w:customStyle="1">
    <w:name w:val="xl113"/>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i/>
      <w:iCs/>
      <w:kern w:val="0"/>
      <w:sz w:val="18"/>
      <w:szCs w:val="18"/>
      <w:lang w:eastAsia="hr-HR" w:bidi="ar-SA"/>
    </w:rPr>
  </w:style>
  <w:style w:type="paragraph" w:styleId="Xl114" w:customStyle="1">
    <w:name w:val="xl114"/>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i/>
      <w:iCs/>
      <w:kern w:val="0"/>
      <w:sz w:val="18"/>
      <w:szCs w:val="18"/>
      <w:lang w:eastAsia="hr-HR" w:bidi="ar-SA"/>
    </w:rPr>
  </w:style>
  <w:style w:type="paragraph" w:styleId="Xl115" w:customStyle="1">
    <w:name w:val="xl115"/>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16" w:customStyle="1">
    <w:name w:val="xl116"/>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lang w:eastAsia="hr-HR" w:bidi="ar-SA"/>
    </w:rPr>
  </w:style>
  <w:style w:type="paragraph" w:styleId="Xl117" w:customStyle="1">
    <w:name w:val="xl117"/>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hr-HR" w:bidi="ar-SA"/>
    </w:rPr>
  </w:style>
  <w:style w:type="paragraph" w:styleId="Xl118" w:customStyle="1">
    <w:name w:val="xl118"/>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i/>
      <w:iCs/>
      <w:kern w:val="0"/>
      <w:sz w:val="18"/>
      <w:szCs w:val="18"/>
      <w:lang w:eastAsia="hr-HR" w:bidi="ar-SA"/>
    </w:rPr>
  </w:style>
  <w:style w:type="paragraph" w:styleId="Xl119" w:customStyle="1">
    <w:name w:val="xl119"/>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i/>
      <w:iCs/>
      <w:kern w:val="0"/>
      <w:sz w:val="18"/>
      <w:szCs w:val="18"/>
      <w:lang w:eastAsia="hr-HR" w:bidi="ar-SA"/>
    </w:rPr>
  </w:style>
  <w:style w:type="paragraph" w:styleId="Xl120" w:customStyle="1">
    <w:name w:val="xl120"/>
    <w:basedOn w:val="Normal"/>
    <w:qFormat/>
    <w:rsid w:val="009e7dba"/>
    <w:pPr>
      <w:pBdr>
        <w:top w:val="single" w:sz="4" w:space="0" w:color="000000"/>
        <w:left w:val="single" w:sz="8" w:space="0" w:color="000000"/>
        <w:bottom w:val="single" w:sz="8"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121" w:customStyle="1">
    <w:name w:val="xl121"/>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22" w:customStyle="1">
    <w:name w:val="xl122"/>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23" w:customStyle="1">
    <w:name w:val="xl123"/>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24" w:customStyle="1">
    <w:name w:val="xl124"/>
    <w:basedOn w:val="Normal"/>
    <w:qFormat/>
    <w:rsid w:val="009e7dba"/>
    <w:pPr>
      <w:pBdr>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25" w:customStyle="1">
    <w:name w:val="xl125"/>
    <w:basedOn w:val="Normal"/>
    <w:qFormat/>
    <w:rsid w:val="009e7dba"/>
    <w:pPr>
      <w:pBdr>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26" w:customStyle="1">
    <w:name w:val="xl126"/>
    <w:basedOn w:val="Normal"/>
    <w:qFormat/>
    <w:rsid w:val="009e7dba"/>
    <w:pPr>
      <w:pBdr>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127" w:customStyle="1">
    <w:name w:val="xl127"/>
    <w:basedOn w:val="Normal"/>
    <w:qFormat/>
    <w:rsid w:val="009e7dba"/>
    <w:pPr>
      <w:pBdr>
        <w:top w:val="single" w:sz="8" w:space="0" w:color="000000"/>
        <w:left w:val="single" w:sz="4" w:space="0" w:color="000000"/>
        <w:bottom w:val="single" w:sz="8" w:space="0" w:color="000000"/>
        <w:right w:val="single" w:sz="8" w:space="0" w:color="000000"/>
      </w:pBdr>
      <w:suppressAutoHyphens w:val="false"/>
      <w:spacing w:beforeAutospacing="1" w:afterAutospacing="1"/>
      <w:jc w:val="center"/>
    </w:pPr>
    <w:rPr>
      <w:rFonts w:ascii="Arial" w:hAnsi="Arial" w:eastAsia="Times New Roman"/>
      <w:b/>
      <w:bCs/>
      <w:kern w:val="0"/>
      <w:lang w:eastAsia="hr-HR" w:bidi="ar-SA"/>
    </w:rPr>
  </w:style>
  <w:style w:type="paragraph" w:styleId="Naslovindeksa">
    <w:name w:val="Index Heading"/>
    <w:basedOn w:val="Stilnaslova"/>
    <w:pPr/>
    <w:rPr/>
  </w:style>
  <w:style w:type="paragraph" w:styleId="Naslovtablicesadraja">
    <w:name w:val="TOC Heading"/>
    <w:basedOn w:val="Stilnaslova1"/>
    <w:next w:val="Normal"/>
    <w:pPr>
      <w:numPr>
        <w:ilvl w:val="0"/>
        <w:numId w:val="0"/>
      </w:numPr>
      <w:spacing w:before="240" w:after="0"/>
      <w:jc w:val="left"/>
      <w:outlineLvl w:val="9"/>
    </w:pPr>
    <w:rPr>
      <w:rFonts w:ascii="Cambria" w:hAnsi="Cambria" w:asciiTheme="majorHAnsi" w:hAnsiTheme="majorHAnsi"/>
      <w:b w:val="false"/>
      <w:color w:val="2F5496" w:themeColor="accent1" w:themeShade="bf"/>
      <w:szCs w:val="32"/>
      <w:lang w:eastAsia="hr-HR"/>
    </w:rPr>
  </w:style>
  <w:style w:type="paragraph" w:styleId="Sadraj1">
    <w:name w:val="TOC 1"/>
    <w:basedOn w:val="Normal"/>
    <w:next w:val="Normal"/>
    <w:pPr>
      <w:spacing w:before="0" w:after="100"/>
    </w:pPr>
    <w:rPr/>
  </w:style>
  <w:style w:type="paragraph" w:styleId="Sadraj2">
    <w:name w:val="TOC 2"/>
    <w:basedOn w:val="Normal"/>
    <w:next w:val="Normal"/>
    <w:pPr>
      <w:spacing w:before="0" w:after="100"/>
      <w:ind w:left="220" w:hanging="0"/>
    </w:pPr>
    <w:rPr/>
  </w:style>
  <w:style w:type="paragraph" w:styleId="Sadrajokvira">
    <w:name w:val="Sadržaj okvira"/>
    <w:basedOn w:val="Normal"/>
    <w:qFormat/>
    <w:pPr/>
    <w:rPr/>
  </w:style>
  <w:style w:type="numbering" w:styleId="NoList" w:default="1">
    <w:name w:val="No List"/>
    <w:uiPriority w:val="99"/>
    <w:semiHidden/>
    <w:unhideWhenUsed/>
    <w:qFormat/>
  </w:style>
  <w:style w:type="numbering" w:styleId="WW8Num3" w:customStyle="1">
    <w:name w:val="WW8Num3"/>
    <w:qFormat/>
  </w:style>
  <w:style w:type="numbering" w:styleId="WW8Num10" w:customStyle="1">
    <w:name w:val="WW8Num10"/>
    <w:qFormat/>
  </w:style>
  <w:style w:type="numbering" w:styleId="WW8Num5" w:customStyle="1">
    <w:name w:val="WW8Num5"/>
    <w:qFormat/>
  </w:style>
  <w:style w:type="numbering" w:styleId="WW8Num11" w:customStyle="1">
    <w:name w:val="WW8Num11"/>
    <w:qFormat/>
  </w:style>
  <w:style w:type="numbering" w:styleId="WW8Num4" w:customStyle="1">
    <w:name w:val="WW8Num4"/>
    <w:qFormat/>
  </w:style>
  <w:style w:type="numbering" w:styleId="WW8Num8" w:customStyle="1">
    <w:name w:val="WW8Num8"/>
    <w:qFormat/>
  </w:style>
  <w:style w:type="numbering" w:styleId="WW8Num6" w:customStyle="1">
    <w:name w:val="WW8Num6"/>
    <w:qFormat/>
  </w:style>
  <w:style w:type="numbering" w:styleId="WW8Num9" w:customStyle="1">
    <w:name w:val="WW8Num9"/>
    <w:qFormat/>
  </w:style>
  <w:style w:type="numbering" w:styleId="WW8Num2" w:customStyle="1">
    <w:name w:val="WW8Num2"/>
    <w:qFormat/>
  </w:style>
  <w:style w:type="numbering" w:styleId="WW8Num7" w:customStyle="1">
    <w:name w:val="WW8Num7"/>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pcina.negoslavci@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image" Target="media/image2.png"/><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image" Target="media/image2.png"/><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image" Target="media/image2.png"/><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2059</TotalTime>
  <Application>LibreOffice/7.4.1.2$Windows_X86_64 LibreOffice_project/3c58a8f3a960df8bc8fd77b461821e42c061c5f0</Application>
  <AppVersion>15.0000</AppVersion>
  <Pages>31</Pages>
  <Words>4532</Words>
  <Characters>28612</Characters>
  <CharactersWithSpaces>32153</CharactersWithSpaces>
  <Paragraphs>1668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2024-10-03T09:55:00Z</dcterms:created>
  <dc:creator/>
  <dc:description/>
  <dc:language>hr-HR</dc:language>
  <cp:lastModifiedBy/>
  <cp:lastPrinted>2025-07-04T10:26:13Z</cp:lastPrinted>
  <dcterms:modified xsi:type="dcterms:W3CDTF">2025-09-30T14:59:05Z</dcterms:modified>
  <cp:revision>272</cp:revision>
  <dc:subject/>
  <dc:title/>
</cp:coreProperties>
</file>

<file path=docProps/custom.xml><?xml version="1.0" encoding="utf-8"?>
<Properties xmlns="http://schemas.openxmlformats.org/officeDocument/2006/custom-properties" xmlns:vt="http://schemas.openxmlformats.org/officeDocument/2006/docPropsVTypes"/>
</file>