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00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7105"/>
      </w:tblGrid>
      <w:tr>
        <w:trPr/>
        <w:tc>
          <w:tcPr>
            <w:tcW w:w="1894" w:type="dxa"/>
            <w:tcBorders/>
            <w:shd w:color="auto" w:fill="E7F0F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</w:rPr>
              <w:t>RKP broj</w:t>
            </w:r>
          </w:p>
        </w:tc>
        <w:tc>
          <w:tcPr>
            <w:tcW w:w="7105" w:type="dxa"/>
            <w:tcBorders/>
            <w:shd w:color="auto" w:fill="E7F0F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/>
              <w:t>36604</w:t>
            </w:r>
          </w:p>
        </w:tc>
      </w:tr>
      <w:tr>
        <w:trPr/>
        <w:tc>
          <w:tcPr>
            <w:tcW w:w="1894" w:type="dxa"/>
            <w:tcBorders/>
            <w:shd w:color="auto" w:fill="E7F0F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</w:rPr>
              <w:t>Naziv obveznika</w:t>
            </w:r>
          </w:p>
        </w:tc>
        <w:tc>
          <w:tcPr>
            <w:tcW w:w="7105" w:type="dxa"/>
            <w:tcBorders/>
            <w:shd w:color="auto" w:fill="E7F0F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/>
              <w:t>OPĆINA NEGOSLAVCI</w:t>
            </w:r>
          </w:p>
        </w:tc>
      </w:tr>
      <w:tr>
        <w:trPr/>
        <w:tc>
          <w:tcPr>
            <w:tcW w:w="1894" w:type="dxa"/>
            <w:tcBorders/>
            <w:shd w:color="auto" w:fill="E7F0F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</w:rPr>
              <w:t>Razina</w:t>
            </w:r>
          </w:p>
        </w:tc>
        <w:tc>
          <w:tcPr>
            <w:tcW w:w="7105" w:type="dxa"/>
            <w:tcBorders/>
            <w:shd w:color="auto" w:fill="E7F0F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/>
              <w:t>22</w:t>
            </w:r>
          </w:p>
        </w:tc>
      </w:tr>
    </w:tbl>
    <w:p>
      <w:pPr>
        <w:pStyle w:val="Normal"/>
        <w:bidi w:val="0"/>
        <w:jc w:val="left"/>
        <w:rPr/>
      </w:pPr>
      <w:r>
        <w:rPr/>
        <w:br/>
      </w:r>
    </w:p>
    <w:p>
      <w:pPr>
        <w:pStyle w:val="Normal"/>
        <w:bidi w:val="0"/>
        <w:spacing w:lineRule="auto" w:line="240"/>
        <w:jc w:val="center"/>
        <w:rPr/>
      </w:pPr>
      <w:r>
        <w:rPr>
          <w:b/>
          <w:sz w:val="28"/>
        </w:rPr>
        <w:t>BILJEŠKE UZ FINANCIJSKE IZVJEŠTAJE</w:t>
      </w:r>
    </w:p>
    <w:p>
      <w:pPr>
        <w:pStyle w:val="Normal"/>
        <w:bidi w:val="0"/>
        <w:spacing w:lineRule="auto" w:line="240"/>
        <w:jc w:val="center"/>
        <w:rPr/>
      </w:pPr>
      <w:r>
        <w:rPr>
          <w:b/>
          <w:sz w:val="28"/>
        </w:rPr>
        <w:t>ZA RAZDOBLJE</w:t>
      </w:r>
    </w:p>
    <w:p>
      <w:pPr>
        <w:pStyle w:val="Normal"/>
        <w:bidi w:val="0"/>
        <w:spacing w:lineRule="auto" w:line="240"/>
        <w:jc w:val="center"/>
        <w:rPr/>
      </w:pPr>
      <w:r>
        <w:rPr>
          <w:b/>
          <w:sz w:val="28"/>
        </w:rPr>
        <w:t>I - IX 2025.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b/>
          <w:sz w:val="28"/>
        </w:rPr>
        <w:t>Izvještaj o prihodima i rashodima, primicima i izdacima</w:t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1.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79"/>
        <w:gridCol w:w="701"/>
        <w:gridCol w:w="1860"/>
        <w:gridCol w:w="1859"/>
        <w:gridCol w:w="700"/>
      </w:tblGrid>
      <w:tr>
        <w:trPr>
          <w:cantSplit w:val="true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6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791.573,96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797.901,44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100,8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3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494.086,94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676.073,87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136,8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297.487,02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121.827,57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41,0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7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-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4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75.507,97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237.273,15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314,2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75.507,97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237.273,15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314,2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8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-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5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-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115.445,58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b/>
                <w:sz w:val="18"/>
              </w:rPr>
              <w:t>-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U razdoblju od 01. siječnja do 30. rujna 2025. prihodi poslovanja ostvareni su u iznosu 797.901,44 EUR. Najznačajnije povećanje prihoda poslovanja ostvareno je od kapitalnih pomoći proračunu i izvanproračunskim korisnicima iz drugih proračuna. Najznačajnije smanjenje prihoda poslovanja bilježi se na tekuće  pomoći proračunu i izvanproračunskim korisnicima iz drugih proračuna.  Rashodi poslovanja u razdoblju od 1. siječnja do 30. rujna 2025. ostvareni su u iznosu 676.073,87 EUR. Najznačajnije povećanje rashoda evidentirano je na ostalim uslugama. Najznačajnije smanjenje rashoda poslovanja bilježi se na uslugama promidžbe i informiranja. U navedenom razdoblju nema ostvarenih prihoda od prodaje nefinancijske imovine, dok su rashodi za nabavu nefinancijske imovine ostvareni u iznosu 237.273,15 EUR. Na povećanje rashoda za nabavu nefinancijske imovine utjecalo je povećanje rashoda za dodatna ulaganja na građevinskim objektima. U navedenom razdoblju nije bilo ostvarenih primitaka i izdataka od financijske imovine i zaduživanja. U razdoblju od 1. siječnja do 30. rujna 2025. ostvaren je višak prihoda poslovanja u iznosu 121.827,57 EUR, manjak prihoda od nefinancijske imovine u iznosu od 237.273,15 EUR, slijedom čega je na kraju izvještajnog razdoblja ostvaren ukupan manjak prihoda i primitaka u iznosu 115.445,58 EUR.</w:t>
      </w:r>
    </w:p>
    <w:p>
      <w:pPr>
        <w:pStyle w:val="Normal"/>
        <w:bidi w:val="0"/>
        <w:jc w:val="left"/>
        <w:rPr/>
      </w:pPr>
      <w:r>
        <w:rPr/>
        <w:b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2.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79"/>
        <w:gridCol w:w="701"/>
        <w:gridCol w:w="1860"/>
        <w:gridCol w:w="1859"/>
        <w:gridCol w:w="700"/>
      </w:tblGrid>
      <w:tr>
        <w:trPr>
          <w:cantSplit w:val="true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6331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220.488,07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24.364,02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11,1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Sredstva pomoći fiskalnog izravnanja u 2024. godini evidentirana su na kontu 6331, a po novom kontnom planu 2025. se evidentira na kontu 6353.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3.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79"/>
        <w:gridCol w:w="701"/>
        <w:gridCol w:w="1860"/>
        <w:gridCol w:w="1859"/>
        <w:gridCol w:w="700"/>
      </w:tblGrid>
      <w:tr>
        <w:trPr>
          <w:cantSplit w:val="true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6332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10.000,00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25.036,79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250,4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U 2025. godini doznačene su kapitalne pomoći za izgradnju nerazvrstanih cesta.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4.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79"/>
        <w:gridCol w:w="701"/>
        <w:gridCol w:w="1860"/>
        <w:gridCol w:w="1859"/>
        <w:gridCol w:w="700"/>
      </w:tblGrid>
      <w:tr>
        <w:trPr>
          <w:cantSplit w:val="true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6353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182.240,76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-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Sredstva pomoći fiskalnog izravnanja u 2024. godini evidentirana su na kontu 6331, a po novom kontnom planu 2025. se evidentira na kontu 6353.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5.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79"/>
        <w:gridCol w:w="701"/>
        <w:gridCol w:w="1860"/>
        <w:gridCol w:w="1859"/>
        <w:gridCol w:w="700"/>
      </w:tblGrid>
      <w:tr>
        <w:trPr>
          <w:cantSplit w:val="true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3111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176.437,33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276.075,28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156,5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Plaće za zaposlene veće su u odnosu za isto vremensko razdoblje prošle godine jer se povećala osnovica.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6.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79"/>
        <w:gridCol w:w="701"/>
        <w:gridCol w:w="1860"/>
        <w:gridCol w:w="1859"/>
        <w:gridCol w:w="700"/>
      </w:tblGrid>
      <w:tr>
        <w:trPr>
          <w:cantSplit w:val="true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3239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Ostale usluge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3.206,55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35.666,70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1112,3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Ostale usluge ostvarene su u iznosu od 35.666,70 EUR a odnose se na uređenje općine.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7.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79"/>
        <w:gridCol w:w="701"/>
        <w:gridCol w:w="1860"/>
        <w:gridCol w:w="1859"/>
        <w:gridCol w:w="700"/>
      </w:tblGrid>
      <w:tr>
        <w:trPr>
          <w:cantSplit w:val="true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3299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2.557,17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16.011,80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626,2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Ostali nespomenuti rashodi poslovanja obuhvaćaju u 2025. godini lokalne izbore kojih u prošloj godini.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8.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79"/>
        <w:gridCol w:w="701"/>
        <w:gridCol w:w="1860"/>
        <w:gridCol w:w="1859"/>
        <w:gridCol w:w="700"/>
      </w:tblGrid>
      <w:tr>
        <w:trPr>
          <w:cantSplit w:val="true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4227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39.036,11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-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U 2025. godini općina Negoslavci opremila je dječje igralište.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9.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79"/>
        <w:gridCol w:w="701"/>
        <w:gridCol w:w="1860"/>
        <w:gridCol w:w="1859"/>
        <w:gridCol w:w="700"/>
      </w:tblGrid>
      <w:tr>
        <w:trPr>
          <w:cantSplit w:val="true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451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71.557,97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197.861,17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276,5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Dodatna ulaganja na građevinskim objektima odnosi se na uređenju Etno kuće - Doma kulture.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b/>
          <w:sz w:val="28"/>
        </w:rPr>
        <w:t>Izvještaj o obvezama</w:t>
      </w:r>
    </w:p>
    <w:p>
      <w:pPr>
        <w:pStyle w:val="Normal"/>
        <w:keepNext w:val="true"/>
        <w:bidi w:val="0"/>
        <w:spacing w:lineRule="auto" w:line="240"/>
        <w:jc w:val="center"/>
        <w:rPr/>
      </w:pPr>
      <w:r>
        <w:rPr>
          <w:sz w:val="28"/>
        </w:rPr>
        <w:t>Bilješka 10.</w:t>
      </w:r>
    </w:p>
    <w:tbl>
      <w:tblPr>
        <w:tblW w:w="9000" w:type="dxa"/>
        <w:jc w:val="left"/>
        <w:tblInd w:w="-5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882"/>
        <w:gridCol w:w="4007"/>
        <w:gridCol w:w="883"/>
        <w:gridCol w:w="2346"/>
        <w:gridCol w:w="882"/>
      </w:tblGrid>
      <w:tr>
        <w:trPr>
          <w:cantSplit w:val="true"/>
        </w:trPr>
        <w:tc>
          <w:tcPr>
            <w:tcW w:w="882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4007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883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2346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882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color="auto" w:fill="E7F0F9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  <w:sz w:val="18"/>
              </w:rPr>
              <w:t>Indeks (%)</w:t>
            </w:r>
          </w:p>
        </w:tc>
      </w:tr>
      <w:tr>
        <w:trPr>
          <w:trHeight w:val="560" w:hRule="atLeast"/>
          <w:cantSplit w:val="true"/>
        </w:trPr>
        <w:tc>
          <w:tcPr>
            <w:tcW w:w="882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07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883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sz w:val="18"/>
              </w:rPr>
              <w:t>V007</w:t>
            </w:r>
          </w:p>
        </w:tc>
        <w:tc>
          <w:tcPr>
            <w:tcW w:w="2346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0,00</w:t>
            </w:r>
          </w:p>
        </w:tc>
        <w:tc>
          <w:tcPr>
            <w:tcW w:w="882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bidi w:val="0"/>
              <w:spacing w:lineRule="auto" w:line="240" w:before="0" w:after="0"/>
              <w:jc w:val="right"/>
              <w:rPr/>
            </w:pPr>
            <w:r>
              <w:rPr>
                <w:sz w:val="18"/>
              </w:rPr>
              <w:t>-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</w:rPr>
        <w:t>Stanje nedospjelih obveza na kraju devetomjesečnog izvješća iznosi 14.699,54 EUR a odnose se na račune pristigle početkom mjesec listopada a odnose se na mjesec rujan.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LibreOffice/7.4.1.2$Windows_X86_64 LibreOffice_project/3c58a8f3a960df8bc8fd77b461821e42c061c5f0</Application>
  <AppVersion>15.0000</AppVersion>
  <Pages>3</Pages>
  <Words>798</Words>
  <Characters>4788</Characters>
  <CharactersWithSpaces>5392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2025-10-13T08:35:47Z</dcterms:created>
  <dc:creator/>
  <dc:description/>
  <dc:language>hr-HR</dc:language>
  <cp:lastModifiedBy/>
  <dcterms:modified xsi:type="dcterms:W3CDTF">2025-10-13T08:36:13Z</dcterms:modified>
  <cp:revision>1</cp:revision>
  <dc:subject/>
  <dc:title/>
</cp:coreProperties>
</file>