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34. God. IV Negoslavci, 12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.11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.2025. godine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AKTI OPĆINSKOG VIJEĆA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Odluka o izradi Izmjene i dopune Prostornog plana uređenja Općine Negoslavci ...........................4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Odluka </w:t>
      </w:r>
      <w:r>
        <w:rPr>
          <w:rFonts w:ascii="Times New Roman" w:hAnsi="Times New Roman"/>
        </w:rPr>
        <w:t>o prijedlogu za imenovanje mrtvozornika na području Općine Negoslavci .........................</w:t>
      </w:r>
      <w:r>
        <w:rPr>
          <w:rFonts w:ascii="Times New Roman" w:hAnsi="Times New Roman"/>
        </w:rPr>
        <w:t>9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AKTI OPĆINSKOG NAČELNIKA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Pravilnik o poticanju gospodarskog razvoja Općine Negoslavci ......................................................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Pravilnik o sufinanciranju kupnje kuće  za mlade i mlade obitelji na području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Općine Negoslavci za 2025. godinu ..................................................................................................1</w:t>
      </w:r>
      <w:r>
        <w:rPr>
          <w:rFonts w:ascii="Times New Roman" w:hAnsi="Times New Roman"/>
        </w:rPr>
        <w:t>4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>AKTI OPĆINSKOG VIJEĆA</w:t>
      </w:r>
    </w:p>
    <w:p>
      <w:pPr>
        <w:pStyle w:val="Normal"/>
        <w:spacing w:lineRule="auto" w:line="240" w:before="120" w:after="0"/>
        <w:jc w:val="both"/>
        <w:rPr>
          <w:rFonts w:cs="Arial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  <w:t xml:space="preserve">Na temelju članka 86. Zakona o prostornom uređenju (Narodne novine broj 153/13, 65/17, 114/18, 39/19, 98/19 i 67/23), u daljnjem tekstu: Zakon, te temeljem članka 19.toč 2. Statuta Općine Negoslavci (Službeni glasnik br. 4/25), Općinsko vijeće, </w:t>
      </w:r>
      <w:bookmarkStart w:id="0" w:name="_Hlk1138204741"/>
      <w:r>
        <w:rPr>
          <w:rFonts w:cs="Arial" w:ascii="Times New Roman" w:hAnsi="Times New Roman"/>
        </w:rPr>
        <w:t xml:space="preserve">11. studenoga 2025., </w:t>
      </w:r>
      <w:bookmarkEnd w:id="0"/>
      <w:r>
        <w:rPr>
          <w:rFonts w:cs="Arial" w:ascii="Times New Roman" w:hAnsi="Times New Roman"/>
        </w:rPr>
        <w:t>donosi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Odluku o izradi izmjene i dopune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Prostornog plana uređenja Općine Negoslavci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Opće odredbe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1.</w:t>
      </w:r>
    </w:p>
    <w:p>
      <w:pPr>
        <w:pStyle w:val="Normal"/>
        <w:keepNext w:val="true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Donosi se odluka o izradi izmjene i dopune Prostornog plana uređenja Općine Negoslavci, u daljnjem tekstu: Odluka.</w:t>
      </w:r>
    </w:p>
    <w:p>
      <w:pPr>
        <w:pStyle w:val="Normal"/>
        <w:keepNext w:val="true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Donošenjem ove Odluke započinje postupak izrade i donošenja izmjene i dopune Prostornog plana uređenja Općine Negoslavci (Službeni vjesnik Vukovarsko srijemske županije broj 14/06 i 8/19), u daljnjem tekstu: izmjena i dopuna Plana.</w:t>
      </w:r>
    </w:p>
    <w:p>
      <w:pPr>
        <w:pStyle w:val="Normal"/>
        <w:keepNext w:val="true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Nositelj izrade izmjene i dopune Plana je Općina Negoslavci, Jedinstveni upravni odjel, u daljnjem tekstu: Nositelj izrade.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bookmarkStart w:id="1" w:name="_Hlk1138201771"/>
      <w:r>
        <w:rPr>
          <w:rFonts w:cs="Arial" w:ascii="Times New Roman" w:hAnsi="Times New Roman"/>
        </w:rPr>
        <w:t>Odgovorna osoba Nositelja izrade je čelnik tijela iz stavka 3. ovoga članka.</w:t>
      </w:r>
      <w:bookmarkEnd w:id="1"/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Pravna osnova za izradu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2.</w:t>
      </w:r>
    </w:p>
    <w:p>
      <w:pPr>
        <w:pStyle w:val="Normal"/>
        <w:keepNext w:val="true"/>
        <w:spacing w:lineRule="auto" w:line="240" w:before="120" w:after="0"/>
        <w:jc w:val="both"/>
        <w:rPr>
          <w:rFonts w:ascii="Times New Roman" w:hAnsi="Times New Roman"/>
        </w:rPr>
      </w:pPr>
      <w:bookmarkStart w:id="2" w:name="_Hlk1138203541"/>
      <w:r>
        <w:rPr>
          <w:rFonts w:cs="Arial" w:ascii="Times New Roman" w:hAnsi="Times New Roman"/>
        </w:rPr>
        <w:t xml:space="preserve">Postupak izrade i donošenja izmjene i dopune Plana temelji se na odredbama članka 86. do </w:t>
      </w:r>
      <w:r>
        <w:rPr>
          <w:rFonts w:cs="Arial" w:ascii="Times New Roman" w:hAnsi="Times New Roman"/>
          <w:color w:val="000000" w:themeColor="text1"/>
        </w:rPr>
        <w:t>članka 112. Zakona</w:t>
      </w:r>
      <w:r>
        <w:rPr>
          <w:rFonts w:cs="Arial" w:ascii="Times New Roman" w:hAnsi="Times New Roman"/>
        </w:rPr>
        <w:t>, a u skladu s odredbama Pravilnika o prostornim planovima (Narodne novine broj 152/23), u daljnjem tekstu: Pravilnik, i ostalim važećim propisima iz područja prostornog uređenja.</w:t>
      </w:r>
      <w:bookmarkEnd w:id="2"/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Razlozi donošenja izmjene i dopune Plana, ciljevi i programska polazišta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3.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Ovom Odlukom određuju se razlozi, ciljevi i programska polazišta u okviru kojih se određuju prostorno planska rješenja u postupku izrade izmjene i dopune Plana.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Razlozi za donošenje izmjene i dopune Plana:</w:t>
      </w:r>
    </w:p>
    <w:p>
      <w:pPr>
        <w:pStyle w:val="ListParagraph"/>
        <w:keepNext w:val="true"/>
        <w:keepLines/>
        <w:numPr>
          <w:ilvl w:val="0"/>
          <w:numId w:val="0"/>
        </w:numPr>
        <w:spacing w:lineRule="auto" w:line="240" w:before="120" w:after="0"/>
        <w:ind w:hanging="0"/>
        <w:contextualSpacing w:val="false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A. </w:t>
      </w:r>
      <w:r>
        <w:rPr>
          <w:rFonts w:cs="Arial" w:ascii="Times New Roman" w:hAnsi="Times New Roman"/>
        </w:rPr>
        <w:t>Usklađenost sa zakonskim i podzakonskim okvirom</w:t>
      </w:r>
    </w:p>
    <w:p>
      <w:pPr>
        <w:pStyle w:val="ListParagraph"/>
        <w:keepNext w:val="true"/>
        <w:keepLines/>
        <w:numPr>
          <w:ilvl w:val="0"/>
          <w:numId w:val="0"/>
        </w:numPr>
        <w:spacing w:lineRule="auto" w:line="240" w:before="120" w:after="0"/>
        <w:ind w:hanging="0"/>
        <w:contextualSpacing w:val="false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1. </w:t>
      </w:r>
      <w:r>
        <w:rPr>
          <w:rFonts w:cs="Arial" w:ascii="Times New Roman" w:hAnsi="Times New Roman"/>
        </w:rPr>
        <w:t>Zakonska obveza izrade izmjene i dopune Plana i usklađenje sa Zakonom</w:t>
      </w:r>
    </w:p>
    <w:p>
      <w:pPr>
        <w:pStyle w:val="Normal"/>
        <w:spacing w:lineRule="auto" w:line="240" w:before="60" w:after="0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    </w:t>
      </w:r>
      <w:r>
        <w:rPr>
          <w:rFonts w:cs="Arial" w:ascii="Times New Roman" w:hAnsi="Times New Roman"/>
        </w:rPr>
        <w:t>Zakon o prostornom uređenju (Narodne novine broj 153/13, 65/17, 114/18,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39/19, 98/19 i 67/23),</w:t>
      </w:r>
    </w:p>
    <w:p>
      <w:pPr>
        <w:pStyle w:val="ListParagraph"/>
        <w:keepNext w:val="true"/>
        <w:keepLines/>
        <w:numPr>
          <w:ilvl w:val="0"/>
          <w:numId w:val="0"/>
        </w:numPr>
        <w:spacing w:lineRule="auto" w:line="240" w:before="120" w:after="0"/>
        <w:ind w:hanging="0"/>
        <w:contextualSpacing w:val="false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2. </w:t>
      </w:r>
      <w:r>
        <w:rPr>
          <w:rFonts w:cs="Arial" w:ascii="Times New Roman" w:hAnsi="Times New Roman"/>
        </w:rPr>
        <w:t>Usklađenje s planom više razine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Prostorni plan Vukovarsko-srijemske županije</w:t>
      </w:r>
    </w:p>
    <w:p>
      <w:pPr>
        <w:pStyle w:val="ListParagraph"/>
        <w:keepNext w:val="true"/>
        <w:keepLines/>
        <w:numPr>
          <w:ilvl w:val="0"/>
          <w:numId w:val="0"/>
        </w:numPr>
        <w:spacing w:lineRule="auto" w:line="240" w:before="120" w:after="0"/>
        <w:ind w:hanging="0"/>
        <w:contextualSpacing w:val="false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3. </w:t>
      </w:r>
      <w:r>
        <w:rPr>
          <w:rFonts w:cs="Arial" w:ascii="Times New Roman" w:hAnsi="Times New Roman"/>
        </w:rPr>
        <w:t>Usklađenje s planom šireg područja iste razine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Nema prostornog plana šireg područja iste razine.</w:t>
      </w:r>
    </w:p>
    <w:p>
      <w:pPr>
        <w:pStyle w:val="ListParagraph"/>
        <w:keepNext w:val="true"/>
        <w:keepLines/>
        <w:numPr>
          <w:ilvl w:val="0"/>
          <w:numId w:val="0"/>
        </w:numPr>
        <w:spacing w:lineRule="auto" w:line="240" w:before="120" w:after="0"/>
        <w:ind w:hanging="0"/>
        <w:contextualSpacing w:val="false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B. </w:t>
      </w:r>
      <w:r>
        <w:rPr>
          <w:rFonts w:cs="Arial" w:ascii="Times New Roman" w:hAnsi="Times New Roman"/>
        </w:rPr>
        <w:t>Određivanje novih prostorno planskih rješenja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Korekcija administrativne granice, odnosno obuhvata prostornog plana Općine Negoslavci i manje korekcije postojećih granica građevinskog područja prvenstveno zbog transformacije plana.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Usklađivanje PPUO Negoslavci s Prostornim planom Vukovarsko-srijemske županije.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Korekcija Odredbi za provedbu zbog usklađivanja sa Zakonom o prostornom uređenju i Pravilnikom o prostornim planovima,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Korekcija uvjeta gradnje gospodarskih građevina,</w:t>
      </w:r>
    </w:p>
    <w:p>
      <w:pPr>
        <w:pStyle w:val="Normal"/>
        <w:spacing w:lineRule="auto" w:line="240" w:before="60" w:after="0"/>
        <w:ind w:left="85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Omogućavanje gradnje pomoćnih zgrada u funkciji poljoprivredne proizvodnje (nadstrešnice, spremište alata, vinogradarske kućice i sl.).</w:t>
      </w:r>
    </w:p>
    <w:p>
      <w:pPr>
        <w:pStyle w:val="Normal"/>
        <w:keepNext w:val="true"/>
        <w:keepLines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Osnovni ciljevi i programska polazišta za izradu izmjene i dopune Plana: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Programsko polazište za izradu Izmjena i dopuna Prostornog plana uređenja Općine Negoslavci je usklađivanje s novim Pravilnikom o prostornim planovima koji je stupio na snagu 01. siječnja 2024. godine i s posljednjim izmjenama i dopunama Zakona o prostornom uređenju te stvaranje prostornih uvjeta za planirani razvoj Općine Negoslavci.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Obuhvat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4.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Granice obuhvata Izmjena i dopuna Prostornog plana uređenja Općine Ne goslavci identične su granicama obuhvata Plana tj. administrativnom području Općine Negoslavci.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Sažeta ocjena stanja u obuhvatu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5.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Područje Općine Negoslavci je pretežito ruralnih obilježja, a prostorna struktura naselja je u skladu s tim osnovnim obilježjima. Povoljan prometni položaj, prihvatljiva cijena građevinskog zemljišta, dobra infrastrukturna opremljenost i očuvanost prirodnog okoliša rezultirali su povećanim interesom za gospodarska i druga ulaganja na području Općine.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U tom je kontekstu nužno unaprijediti prostorni plan koji se, iako izrađen korištenjem digitalnih tehnologija, provodi primarno korištenjem zastarjelih analognih tehnika. Tehnologija kojom je Plan izrađen ne omogućuje cjelovitu i sveobuhvatnu analizu prostornih podataka.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Popis sektorskih strategija i drugih dokumenata u skladu s kojima se utvrđuju zahtjevi za izradu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6.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U postupku izrade Izmjena i dopuna Prostornog plana uređenja Općine Negoslavci koristit će se postojeća dokumentacija, kao i ona čija je izrada u tijeku, podatci sadržani u informacijskom sustavu prostornog uređenja te podatci, planske smjernice i propisani dokumenti koje će biti na raspolaganju u fazi izrade Nacrta prijedloga te podatci, planske smjernice i dokumenti dostavljeni od strane javnopravnih tijela.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Način pribavljanja stručnih rješenja za izradu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7.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Stručna rješenja za izradu Izmjena i dopuna Prostornog plana uređenja Općine Negoslavci izradit će ovlašteni izrađivač prostorno-planske dokumentacije, sukladno pribavljenim posebnim uvjetima javnopravnih tijela.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Popis javnopravnih tijela određenih posebnim propisima, koja daju zahtjeve za izradu izmjene i dopune Plana iz područja svog djelokruga, te drugih sudionika i korisnika prostora koji trebaju sudjelovati u izradi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8.</w:t>
      </w:r>
    </w:p>
    <w:p>
      <w:pPr>
        <w:pStyle w:val="Normal"/>
        <w:keepNext w:val="true"/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Poziv na dostavu zahtjeva za izradu izmjene i dopune Plana uputit će se sljedećim javnopravnim tijelima: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1. </w:t>
      </w:r>
      <w:r>
        <w:rPr>
          <w:rFonts w:cs="Arial" w:ascii="Times New Roman" w:hAnsi="Times New Roman"/>
        </w:rPr>
        <w:t>Vukovarsko-srijemska županija, Služba za prostorno planiranje, gradnju i zaštitu okoliša, HR-32000 Vukovar, Županijska 9.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2. </w:t>
      </w:r>
      <w:r>
        <w:rPr>
          <w:rFonts w:cs="Arial" w:ascii="Times New Roman" w:hAnsi="Times New Roman"/>
        </w:rPr>
        <w:t>Uprava za ceste Vukovarsko-srijemske županije, HR-32100 Vinkovci, Josipa Kozarca 10.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3. </w:t>
      </w:r>
      <w:r>
        <w:rPr>
          <w:rFonts w:cs="Arial" w:ascii="Times New Roman" w:hAnsi="Times New Roman"/>
        </w:rPr>
        <w:t>HŽ INFRASTRUKTURA d.o.o.,  Sektor za razvoj, pripremu i provedbu investicija i EU fondova, HR-10000 Zagreb, Mihanovićeva ulica 12.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4. </w:t>
      </w:r>
      <w:r>
        <w:rPr>
          <w:rFonts w:cs="Arial" w:ascii="Times New Roman" w:hAnsi="Times New Roman"/>
        </w:rPr>
        <w:t>VODOVOD GRADA VUKOVARA d.o.o., HR-32000 Vukovar, Jana Bate 4.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5. </w:t>
      </w:r>
      <w:r>
        <w:rPr>
          <w:rFonts w:cs="Arial" w:ascii="Times New Roman" w:hAnsi="Times New Roman"/>
        </w:rPr>
        <w:t>Hrvatske vode, VGO za Dunav i donju Dravu, HR-31000 Osijek, Splavarska 2a.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6. </w:t>
      </w:r>
      <w:r>
        <w:rPr>
          <w:rFonts w:cs="Arial" w:ascii="Times New Roman" w:hAnsi="Times New Roman"/>
        </w:rPr>
        <w:t>Hrvatska regulatorna agencija za mrežne djelatnosti, HR-10110 Zagreb, Ulica Roberta Frangeša Mihanovića 9.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7. </w:t>
      </w:r>
      <w:r>
        <w:rPr>
          <w:rFonts w:cs="Arial" w:ascii="Times New Roman" w:hAnsi="Times New Roman"/>
        </w:rPr>
        <w:t>Ministarstvo unutarnjih poslova, Policijska uprava vukovarsko-srijemska, Odjel za sigurnost cestovnog prometa, HR-32100 Vinkovci, Glagoljaška 27b.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8. </w:t>
      </w:r>
      <w:r>
        <w:rPr>
          <w:rFonts w:cs="Arial" w:ascii="Times New Roman" w:hAnsi="Times New Roman"/>
        </w:rPr>
        <w:t>Plinara Istočne Slavonije d.o.o. , HR-32100 Vinkovci, Ohridska 17.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9. </w:t>
      </w:r>
      <w:r>
        <w:rPr>
          <w:rFonts w:cs="Arial" w:ascii="Times New Roman" w:hAnsi="Times New Roman"/>
        </w:rPr>
        <w:t>HEP-PLIN d.o.o., Pogon Vukovar, HR-32000 Vukovar, Gospodarska zona 13.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10. </w:t>
      </w:r>
      <w:r>
        <w:rPr>
          <w:rFonts w:cs="Arial" w:ascii="Times New Roman" w:hAnsi="Times New Roman"/>
        </w:rPr>
        <w:t>PLINACRO d.o.o., HR-10000 Zagreb, Savska cesta 88a.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11. </w:t>
      </w:r>
      <w:r>
        <w:rPr>
          <w:rFonts w:cs="Arial" w:ascii="Times New Roman" w:hAnsi="Times New Roman"/>
        </w:rPr>
        <w:t>INA-INDUSTRIJA NAFTE d.d., Istraživanja i proizvodnje nafte i plina, HR-10020 Zagreb, Lovinčićeva 4.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12. </w:t>
      </w:r>
      <w:r>
        <w:rPr>
          <w:rFonts w:cs="Arial" w:ascii="Times New Roman" w:hAnsi="Times New Roman"/>
        </w:rPr>
        <w:t>Ministarstvo unutarnjih poslova, Ravnateljstvo policije, Uprava za granicu, Služba za zaštitu državne granice i kompenzacijske mjere, HR-10000 Zagreb, Ilica 335.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13. </w:t>
      </w:r>
      <w:r>
        <w:rPr>
          <w:rFonts w:cs="Arial" w:ascii="Times New Roman" w:hAnsi="Times New Roman"/>
        </w:rPr>
        <w:t>Ministarstvo poljoprivrede, šumarstva i ribarstva, Uprava za poljoprivredno zemljište, biljnu proizvodnju i tržište, HR-10000 Zagreb, Ulica grada Vukovara 78.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14. </w:t>
      </w:r>
      <w:r>
        <w:rPr>
          <w:rFonts w:cs="Arial" w:ascii="Times New Roman" w:hAnsi="Times New Roman"/>
        </w:rPr>
        <w:t>Ministarstvo prostornoga uređenja, graditeljstva i državne imovine, Uprava za prostorno uređenje, HR-10000 Zagreb, Ulica Republike Austrije 14.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15. </w:t>
      </w:r>
      <w:r>
        <w:rPr>
          <w:rFonts w:cs="Arial" w:ascii="Times New Roman" w:hAnsi="Times New Roman"/>
        </w:rPr>
        <w:t>Ministarstvo prostornoga uređenja, graditeljstva i državne imovine, Uprava za upravljanje i raspolaganje nekretninama, HR-10000 Zagreb, Ulica Republike Austrije 20.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16. </w:t>
      </w:r>
      <w:r>
        <w:rPr>
          <w:rFonts w:cs="Arial" w:ascii="Times New Roman" w:hAnsi="Times New Roman"/>
        </w:rPr>
        <w:t>Ministarstvo obrane, Uprava za infrastrukturu i potporu, Sektor za infrastrukturu, Služba za graditeljstvo, HR-10000 Zagreb, Trg kralja Petra Krešimira IV 1.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17. </w:t>
      </w:r>
      <w:r>
        <w:rPr>
          <w:rFonts w:cs="Arial" w:ascii="Times New Roman" w:hAnsi="Times New Roman"/>
        </w:rPr>
        <w:t>Ministarstvo gospodarstva, Uprava za energetiku, HR-10000 Zagreb, Radnička cesta 80.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18. </w:t>
      </w:r>
      <w:r>
        <w:rPr>
          <w:rFonts w:cs="Arial" w:ascii="Times New Roman" w:hAnsi="Times New Roman"/>
        </w:rPr>
        <w:t>Ministarstvo kulture i medija, Uprava za zaštitu kulturne baštine, Područna konzervatorska služba Vukovar, HR-32000 Vukovar, Županijska 5.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19. </w:t>
      </w:r>
      <w:r>
        <w:rPr>
          <w:rFonts w:cs="Arial" w:ascii="Times New Roman" w:hAnsi="Times New Roman"/>
        </w:rPr>
        <w:t>Grad Vukovar, HR-32000 Vukovar, Dr. Franje Tuđmana 1.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20. </w:t>
      </w:r>
      <w:r>
        <w:rPr>
          <w:rFonts w:cs="Arial" w:ascii="Times New Roman" w:hAnsi="Times New Roman"/>
        </w:rPr>
        <w:t>Općina Tompojevci, HR-32238 Tompojevci, Antuna Gustava Matoša 1.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21. </w:t>
      </w:r>
      <w:r>
        <w:rPr>
          <w:rFonts w:cs="Arial" w:ascii="Times New Roman" w:hAnsi="Times New Roman"/>
        </w:rPr>
        <w:t>Općina Bogdanovci, HR-32000 Bogdanovci, Bana J. Jelačića 1.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22. </w:t>
      </w:r>
      <w:r>
        <w:rPr>
          <w:rFonts w:cs="Arial" w:ascii="Times New Roman" w:hAnsi="Times New Roman"/>
        </w:rPr>
        <w:t>Hrvatski operator prijenosnog sustava d.d., Prijenosno područje Osijek, HR-31000 Osijek, Vukovarska cesta 217.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23. </w:t>
      </w:r>
      <w:r>
        <w:rPr>
          <w:rFonts w:cs="Arial" w:ascii="Times New Roman" w:hAnsi="Times New Roman"/>
        </w:rPr>
        <w:t>HEP-Operator distribucijskog sustava d.o.o., Elektra Vinkovci, HR-32100 Vinkovci, Kralja Zvonimira 96.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24, </w:t>
      </w:r>
      <w:r>
        <w:rPr>
          <w:rFonts w:cs="Arial" w:ascii="Times New Roman" w:hAnsi="Times New Roman"/>
        </w:rPr>
        <w:t>Hrvatske ceste d.o.o., Sektor za održavanje i promet, Poslovna jedinica Osijek, Tehnička ispostava Osijek, HR-31000 Osijek, Vukovarska 122.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567" w:leader="none"/>
        </w:tabs>
        <w:spacing w:lineRule="auto" w:line="276" w:before="60" w:after="0"/>
        <w:ind w:left="425" w:hanging="0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25. </w:t>
      </w:r>
      <w:r>
        <w:rPr>
          <w:rFonts w:cs="Arial" w:ascii="Times New Roman" w:hAnsi="Times New Roman"/>
        </w:rPr>
        <w:t>Hrvatske ceste d.o.o., HR-10000 Zagreb, Vončinina 3.</w:t>
      </w:r>
    </w:p>
    <w:p>
      <w:pPr>
        <w:pStyle w:val="Normal"/>
        <w:keepNext w:val="true"/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Poziv na dostavu zahtjeva za izradu izmjene i dopune Plana uputit će se i drugim sudionicima i korisnicima prostora koji sudjeluju u izradi izmjene i dopune Plana: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567" w:leader="none"/>
        </w:tabs>
        <w:spacing w:lineRule="auto" w:line="276" w:before="60" w:after="0"/>
        <w:ind w:left="567" w:hanging="141"/>
        <w:contextualSpacing/>
        <w:rPr>
          <w:rFonts w:ascii="Times New Roman" w:hAnsi="Times New Roman"/>
        </w:rPr>
      </w:pPr>
      <w:r>
        <w:rPr>
          <w:rFonts w:cs="Arial" w:ascii="Times New Roman" w:hAnsi="Times New Roman"/>
        </w:rPr>
        <w:t>Javna ustanova Zavod za prostorno uređenje Vukovarsko srijemske županije,, HR-32100 Vinkovci, Glagoljaška ulica 27.</w:t>
      </w:r>
    </w:p>
    <w:p>
      <w:pPr>
        <w:pStyle w:val="Normal"/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Rok za dostavu zahtjeva je 30 dana od zaprimanja poziva za dostavu zahtjeva.</w:t>
      </w:r>
    </w:p>
    <w:p>
      <w:pPr>
        <w:pStyle w:val="Normal"/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Ako javnopravno tijelo ne dostavi zahtjeve u roku iz prethodne alineje, smatra se da zahtjeva nema.</w:t>
      </w:r>
    </w:p>
    <w:p>
      <w:pPr>
        <w:pStyle w:val="Normal"/>
        <w:tabs>
          <w:tab w:val="clear" w:pos="709"/>
          <w:tab w:val="left" w:pos="7186" w:leader="none"/>
        </w:tabs>
        <w:spacing w:lineRule="auto" w:line="276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Putem pošte te elektroničkim putem, u skladu s odredbama važećeg Zakona.</w:t>
      </w:r>
    </w:p>
    <w:p>
      <w:pPr>
        <w:pStyle w:val="Normal"/>
        <w:keepNext w:val="true"/>
        <w:spacing w:lineRule="auto" w:line="276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Dinamika s fazama izrade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9.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Za izradu izmjene i dopune Plana određuju se dinamika i faze izrade izmjene i dopune Plana kako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slijedi: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1. Izradu prijedloga Odluke o izradi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2. Pribavljanje mišljenja na prijedlog Odluke o izradi plana sukladno posebnim zakonima kojima se uređuje zaštita okoliša i prirode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3. Donošenje Odluke o izradi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4. Prikupljanje zahtjeva za izradu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5. Izrada nacrta prijedloga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6. Utvrđivanje prijedloga Plana za javnu raspravu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7. Provedba javne rasprave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8. Izrada izvješća o javnoj raspravi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9. Utvrđivanje konačnog prijedloga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10. Pribavljanje mišljenja na konačni prijedlog Plana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11. Donošenje Odluke o usvajanju plana na predstavničkom tijelu jedinice lokalne samouprave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Izvori financiranja izrade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10.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Izmjena i dopuna Prostornog plana uređenja financira se iz potpore u okvoru Poziva za dodjelu bespovratnih sredstava „Izrada prostornih planova nove generacije putem elektroničkog sustava „ePlanovi“.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Druga pitanja značajna za izradu izmjene i dopune Plana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11.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U skladu s člankom 86. Zakona na Prijedlog odluke o izradi izmjene i dopune Plana sukladno posebnim propisima kojima se uređuje zaštita okoliša i prirode pribavljeno je: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- Mišljenje, KLASA: 351-01/25-08/18, URBROJ: 2196-14-01-25-3 od 29.listopada 2025., koje je izdalo nadležno tijelo za zaštitu okoliša i prirode: Vukovarsko-srijemska županija, Služba za prostorno planiranje, gradnju i zaštitu okoliša, Odsjek za zaštitu okoliša i prirode.</w:t>
      </w:r>
    </w:p>
    <w:p>
      <w:pPr>
        <w:pStyle w:val="Normal"/>
        <w:keepNext w:val="true"/>
        <w:spacing w:lineRule="auto" w:line="240" w:before="24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/>
          <w:iCs/>
        </w:rPr>
        <w:t>Prijelazne i završne odredbe</w:t>
      </w:r>
    </w:p>
    <w:p>
      <w:pPr>
        <w:pStyle w:val="Normal"/>
        <w:keepNext w:val="true"/>
        <w:spacing w:lineRule="auto" w:line="240" w:before="12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Članak 12.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Tijekom postupka Izmjena i dopuna Prostornog plana uređenja Općine Negoslavci svi zahtjevi fizičkih i pravnih osoba vezanih za izdavanje akata za gradnju vršit će se neometano sukladno sadašnjem važećem Prostornom planu uređenja Općine Negoslavci.</w:t>
      </w:r>
    </w:p>
    <w:p>
      <w:pPr>
        <w:pStyle w:val="Normal"/>
        <w:tabs>
          <w:tab w:val="clear" w:pos="709"/>
          <w:tab w:val="left" w:pos="7186" w:leader="none"/>
        </w:tabs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Ova Odluka stupa na snagu osmog dana od dana objave u Službenom glasniku Općine Negoslavci.</w:t>
      </w:r>
    </w:p>
    <w:p>
      <w:pPr>
        <w:pStyle w:val="Normal"/>
        <w:keepNext w:val="true"/>
        <w:spacing w:lineRule="auto" w:line="240" w:before="24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KLASA: 350-03/24-37/1</w:t>
      </w:r>
    </w:p>
    <w:p>
      <w:pPr>
        <w:pStyle w:val="Normal"/>
        <w:keepNext w:val="true"/>
        <w:spacing w:lineRule="auto" w:line="240" w:before="0" w:after="0"/>
        <w:ind w:left="284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URBROJ: 2196-19-02-25-07</w:t>
      </w:r>
    </w:p>
    <w:p>
      <w:pPr>
        <w:pStyle w:val="Normal"/>
        <w:keepNext w:val="true"/>
        <w:spacing w:lineRule="auto" w:line="240" w:before="0" w:after="0"/>
        <w:ind w:left="284" w:hanging="0"/>
        <w:jc w:val="both"/>
        <w:rPr>
          <w:rFonts w:ascii="Times New Roman" w:hAnsi="Times New Roman"/>
        </w:rPr>
      </w:pPr>
      <w:bookmarkStart w:id="3" w:name="_Hlk1138870181"/>
      <w:r>
        <w:rPr>
          <w:rFonts w:cs="Arial" w:ascii="Times New Roman" w:hAnsi="Times New Roman"/>
        </w:rPr>
        <w:t xml:space="preserve">Negoslavci, </w:t>
      </w:r>
      <w:bookmarkEnd w:id="3"/>
      <w:r>
        <w:rPr>
          <w:rFonts w:cs="Arial" w:ascii="Times New Roman" w:hAnsi="Times New Roman"/>
        </w:rPr>
        <w:t>11. studenoga 2025.</w:t>
      </w:r>
    </w:p>
    <w:p>
      <w:pPr>
        <w:pStyle w:val="Normal"/>
        <w:keepNext w:val="true"/>
        <w:spacing w:lineRule="auto" w:line="240" w:before="0" w:after="0"/>
        <w:ind w:left="284" w:hanging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keepNext w:val="true"/>
        <w:spacing w:lineRule="auto" w:line="240" w:before="0" w:after="0"/>
        <w:ind w:left="284" w:hanging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keepNext w:val="true"/>
        <w:tabs>
          <w:tab w:val="clear" w:pos="709"/>
          <w:tab w:val="left" w:pos="4536" w:leader="none"/>
        </w:tabs>
        <w:spacing w:lineRule="auto" w:line="240" w:before="60" w:after="0"/>
        <w:ind w:hanging="0"/>
        <w:jc w:val="center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</w:rPr>
        <w:t>PREDSJEDNIK OPĆINSKOG VIJEĆA</w:t>
      </w:r>
    </w:p>
    <w:p>
      <w:pPr>
        <w:pStyle w:val="Normal"/>
        <w:keepNext w:val="true"/>
        <w:tabs>
          <w:tab w:val="clear" w:pos="709"/>
          <w:tab w:val="left" w:pos="4536" w:leader="none"/>
        </w:tabs>
        <w:spacing w:lineRule="auto" w:line="240" w:before="60" w:after="0"/>
        <w:ind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</w:rPr>
        <w:t>Miodrag Mišanović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Na temelju članka 230. Zakona o zdravstvenoj zaštiti („Narodne novine” broj 100/18, 125/19, 147/20, 119/22, 156/22, 33/23, 36/24 i 102/25) i članka 19., točke 2. Statuta Općine Negoslavci („Službeni glasnik Općine Negoslavci” broj 04/25), Općinsko vijeće Općine Negoslavci dana 11.11.2025. godine donosi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</w:rPr>
        <w:t>ODLUKU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</w:rPr>
        <w:t>o prijedlogu za imenovanje mrtvozornika na području Općine Negoslavci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ab/>
        <w:t>Predlaže se Županijskog skupštini Vukovarsko-srijemske županije imenovanje tri mrtvozornika, koji će utvrđivati nastup, vrijeme i uzrok smrti osoba umrlih izvan zdravstvene ustanove za područje Općine Negoslavci, kako slijedi: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1. Jurica Majer, dr. med.,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2. Vesna Milošević, dr. med.,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3. Mario Matić, sveučilišni magistar sestrinstva.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ab/>
        <w:t>Ova Odluka prosljeđuje se Županijskoj skupštini Vukovarsko-srijemske županije na daljnje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postupanje.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lang w:val="sr-RS"/>
        </w:rPr>
      </w:pPr>
      <w:r>
        <w:rPr>
          <w:rFonts w:ascii="Times New Roman" w:hAnsi="Times New Roman"/>
          <w:b w:val="false"/>
          <w:bCs w:val="false"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</w:rPr>
        <w:t>Članak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ab/>
        <w:t>Ova Odluka stupa na snagu danom nakon dana objave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KLASA: 024-04/25-01</w:t>
      </w:r>
      <w:r>
        <w:rPr>
          <w:rFonts w:ascii="Times New Roman" w:hAnsi="Times New Roman"/>
          <w:b w:val="false"/>
          <w:bCs w:val="false"/>
          <w:color w:val="000000"/>
        </w:rPr>
        <w:t>/05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URBROJ: 2196-19-02-25-01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Negoslavci, 11. studenoga 2025.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 w:val="false"/>
          <w:iCs w:val="false"/>
        </w:rPr>
        <w:t>PREDSJEDNIK OPĆINSKOG VIJEĆA: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iCs w:val="false"/>
        </w:rPr>
        <w:t>Miodrag Mišanović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61355" cy="36830"/>
            <wp:effectExtent l="0" t="0" r="0" b="0"/>
            <wp:docPr id="3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hr-HR"/>
        </w:rPr>
        <w:t>AKTI OPĆINSKOG NAČELNIKA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Calibri"/>
          <w:color w:val="EE0000"/>
          <w:sz w:val="24"/>
          <w:szCs w:val="24"/>
          <w:lang w:val="hr-HR"/>
        </w:rPr>
      </w:pPr>
      <w:r>
        <w:rPr>
          <w:rFonts w:cs="Calibri" w:ascii="Times New Roman" w:hAnsi="Times New Roman"/>
          <w:color w:val="EE0000"/>
          <w:sz w:val="24"/>
          <w:szCs w:val="24"/>
          <w:lang w:val="hr-HR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color w:val="000000"/>
          <w:sz w:val="24"/>
          <w:szCs w:val="24"/>
          <w:lang w:val="hr-HR"/>
        </w:rPr>
        <w:t xml:space="preserve">Temeljem članka 10. st.1. t. 3. Zakona o poticanju razvoja malog gospodarstva (NN 29/02, 63/07, 53/12, 56/13 i 121/16), </w:t>
      </w:r>
      <w:bookmarkStart w:id="4" w:name="_Hlk89344897"/>
      <w:r>
        <w:rPr>
          <w:rFonts w:cs="Calibri" w:ascii="Times New Roman" w:hAnsi="Times New Roman"/>
          <w:color w:val="000000"/>
          <w:sz w:val="24"/>
          <w:szCs w:val="24"/>
          <w:lang w:val="hr-HR"/>
        </w:rPr>
        <w:t>članka 32., stavka 2., točke 2. Statuta Općine Negoslavci (Službeni glasnik Općine Negoslavci 4/25)</w:t>
      </w:r>
      <w:r>
        <w:rPr>
          <w:rFonts w:cs="Calibri" w:ascii="Times New Roman" w:hAnsi="Times New Roman"/>
          <w:sz w:val="24"/>
          <w:szCs w:val="24"/>
          <w:lang w:val="hr-HR"/>
        </w:rPr>
        <w:t xml:space="preserve"> Općinski načelnik Općine Negoslavci dana 3.11.2025 godine donosi</w:t>
      </w:r>
      <w:bookmarkEnd w:id="4"/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bCs/>
          <w:sz w:val="24"/>
          <w:szCs w:val="24"/>
          <w:lang w:val="hr-HR"/>
        </w:rPr>
        <w:t>PRAVILNIK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bCs/>
          <w:sz w:val="24"/>
          <w:szCs w:val="24"/>
          <w:lang w:val="hr-HR"/>
        </w:rPr>
        <w:t xml:space="preserve">o poticanju gospodarskog razvoja Općine Negoslavci </w:t>
      </w:r>
    </w:p>
    <w:p>
      <w:pPr>
        <w:pStyle w:val="Normal"/>
        <w:spacing w:lineRule="auto" w:line="240"/>
        <w:jc w:val="center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OPĆE ODREDBE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1.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>Ovim Pravilnikom utvrđuju se svrha i ciljevi Pravilnika, korisnici, nositelji potpore, mjere potpora, postupak dodjele sredstava, izvore sredstava, obveze korisnika sredstava i kontrola namjenskog utroška dodijeljenih sredstava te ostale odredbe bitne za provođenje.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>Sa svrhom poticanja postojećeg i stimuliranja novog poslovanja, smanjenja broja nezaposlenih i realizacije projekata razvoja malog i srednjeg poduzetništva i obrtništva, Općina Negoslavci, na način i prema uvjetima utvrđenim ovim pravilnikom pomaže malim i srednjim poduzetnicima i obrtnicima u početnim fazama poslovanja, omogućuje povećanje zaposlenosti te stvara pozitivno okruženje za poduzetničku inicijativu.</w:t>
      </w:r>
    </w:p>
    <w:p>
      <w:pPr>
        <w:pStyle w:val="Normal"/>
        <w:spacing w:lineRule="auto" w:line="24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KORISNICI POTPORE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2.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>Korisnici ove potpore su fizičke osobe koje obavljaju registriranu djelatnost – obrti i pravne osobe - trgovačka društva, koja imaju sjedište na području Općine Negoslavci.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lang w:val="hr-HR"/>
        </w:rPr>
        <w:t>Prihvatljivi korisnici</w:t>
      </w: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 su oni koji ispunjavaju sljedeće uvjete: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podmirili sve dospjele obveze prema Općini Negoslavci,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podmirili sve dospjele obveze po osnovi javnih davanja o kojima evidenciju vodi Porezna uprava.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u 2024. ili 2025. godini otvorili obrt ili trgovačko društvo.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eastAsia="Calibri" w:cs="Calibri"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lang w:val="hr-HR"/>
        </w:rPr>
        <w:t xml:space="preserve">      </w:t>
      </w:r>
      <w:r>
        <w:rPr>
          <w:rFonts w:eastAsia="Calibri" w:cs="Calibri" w:ascii="Times New Roman" w:hAnsi="Times New Roman"/>
          <w:b/>
          <w:bCs/>
          <w:sz w:val="24"/>
          <w:szCs w:val="24"/>
          <w:lang w:val="hr-HR"/>
        </w:rPr>
        <w:t>Neprihvatljivi korisnici: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koji su prethodnih godina ostvarili poticaj od Općine Negoslavci, bez obzira na propisanu mjeru.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NOSITELJI POTPORE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3.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Odluku o početku provedbe Pravilnika o poticanju gospodarskog razvoja na području Općine Negoslavci u 2025. godini donosi Općinski načelnik.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  <w:t>Za provođenje odredbi ovog Pravilnika zadužuje se Jedinstveni upravni odjel koji temeljem Odluke Općinskog načelnika o početku provedbe Pravilnika raspisuje Javni poziv za dodjelu sredstava potpore iz proračuna Općine Negoslavci za poticanje gospodarskog razvoja u 2025. godini.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  <w:tab/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MJERE POTPORA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4.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Općina Negoslavci će u 2025. godini dodjeljivati potpore za sljedeće namjene: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Mjera  1.Potpore za zapošljavanje i samozapošljavanje,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Mjera 2.Potpore za izgradnju/rekonstrukciju/ i opremanje poslovnih objekata ili nabavku opreme za rad/proizvodnju,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 xml:space="preserve">Mjera 3.Potpore za kupovinu teretnih, dostavnih i drugih radnih vozila. </w:t>
      </w:r>
    </w:p>
    <w:p>
      <w:pPr>
        <w:pStyle w:val="Normal"/>
        <w:spacing w:lineRule="auto" w:line="24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Mjera 1. Potpore za zapošljavanje i samozapošljavanje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5.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 xml:space="preserve">Potpora </w:t>
      </w:r>
      <w:r>
        <w:rPr>
          <w:rFonts w:cs="Calibri" w:ascii="Times New Roman" w:hAnsi="Times New Roman"/>
          <w:bCs/>
          <w:sz w:val="24"/>
          <w:szCs w:val="24"/>
          <w:lang w:val="hr-HR"/>
        </w:rPr>
        <w:t>za zapošljavanje i samozapošljavanje</w:t>
      </w:r>
      <w:r>
        <w:rPr>
          <w:rFonts w:cs="Calibri" w:ascii="Times New Roman" w:hAnsi="Times New Roman"/>
          <w:sz w:val="24"/>
          <w:szCs w:val="24"/>
          <w:lang w:val="hr-HR"/>
        </w:rPr>
        <w:t xml:space="preserve">, odnosno plaćanje dijela obveznih doprinosa  u iznosu od 3.500,00 EUR (tritisućepetstotinaeura) koje se isplaćuje u jednokratnom iznosu, ostvaruje se za: 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zapošljavanje osobe,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samozapošljavanje.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 xml:space="preserve">Korisnik ne smije smanjivati ukupan broj zaposlenih u razdoblju od 1 godine.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 xml:space="preserve">Korisnik sa osobom za koju traži potporu mora u pravilu imati sklopljen Ugovor o radu na neodređeno vrijeme. Ukoliko je Ugovor o radu sklopljen na određeno vrijeme onda mora biti zaključen na rok od najmanje 12 mjeseci.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  <w:t>Za ostvarivanje prava na potporu, uz zahtjev za potporu, korisnik mora priložiti: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Preslik osobne iskaznice osobe za koju se traži potpora,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Preslik Ugovora o radu/ Rješenje o upisu u nadležni registar,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Preslik prijave u mirovinsko osiguranje,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Izjavu o broju zaposlenih na dan podnošenja Zahtjeva.</w:t>
      </w:r>
    </w:p>
    <w:p>
      <w:pPr>
        <w:pStyle w:val="Normal"/>
        <w:spacing w:lineRule="auto" w:line="24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 xml:space="preserve">Mjera 2. </w:t>
      </w: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 xml:space="preserve"> Potpore za izgradnju, rekonstrukciju i opremanje poslovnih objekata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Članak 6.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</w:r>
      <w:r>
        <w:rPr>
          <w:rFonts w:cs="Calibri" w:ascii="Times New Roman" w:hAnsi="Times New Roman"/>
          <w:sz w:val="24"/>
          <w:szCs w:val="24"/>
          <w:lang w:val="hr-HR"/>
        </w:rPr>
        <w:t xml:space="preserve">Potpora u iznosu od najviše 2.000,00 EUR (dvijetisućeeura) ostvaruje se za izgradnju, rekonstrukciju odnosno opremanje poslovnih objekata namijenjenih za obavljanje gospodarske djelatnosti,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ab/>
      </w:r>
      <w:r>
        <w:rPr>
          <w:rFonts w:eastAsia="Calibri" w:cs="Calibri" w:ascii="Times New Roman" w:hAnsi="Times New Roman"/>
          <w:sz w:val="24"/>
          <w:szCs w:val="24"/>
          <w:lang w:val="hr-HR"/>
        </w:rPr>
        <w:t>Za ostvarivanje prava na potporu, uz zahtjev korisnik mora priložiti: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preslike ponuda ili </w:t>
      </w:r>
      <w:r>
        <w:rPr>
          <w:rFonts w:cs="Calibri" w:ascii="Times New Roman" w:hAnsi="Times New Roman"/>
          <w:sz w:val="24"/>
          <w:szCs w:val="24"/>
          <w:lang w:val="hr-HR"/>
        </w:rPr>
        <w:t>preslike računa za izvršene radove, nabavljenu opremu, izvršenu instalaciju opreme,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preslike dokaza o izvršenom plaćanju (izvadak o stanju transakcijskog računa na dan izvršenog plaćanja),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dokaz o vlasništvu odnosno korištenju poslovnih objekata i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fotografije izvršene investicije.</w:t>
      </w:r>
    </w:p>
    <w:p>
      <w:pPr>
        <w:pStyle w:val="Normal"/>
        <w:spacing w:lineRule="auto" w:line="240"/>
        <w:ind w:left="1068" w:hanging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Mjera 3.</w:t>
      </w:r>
      <w:r>
        <w:rPr>
          <w:rFonts w:cs="Calibri" w:ascii="Times New Roman" w:hAnsi="Times New Roman"/>
          <w:sz w:val="24"/>
          <w:szCs w:val="24"/>
          <w:lang w:val="hr-HR"/>
        </w:rPr>
        <w:t xml:space="preserve"> </w:t>
      </w:r>
      <w:r>
        <w:rPr>
          <w:rFonts w:cs="Calibri" w:ascii="Times New Roman" w:hAnsi="Times New Roman"/>
          <w:b/>
          <w:bCs/>
          <w:sz w:val="24"/>
          <w:szCs w:val="24"/>
          <w:lang w:val="hr-HR"/>
        </w:rPr>
        <w:t>Potpore za kupovinu teretnih, dostavnih i drugih radnih vozila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bookmarkStart w:id="5" w:name="_Hlk52896461"/>
      <w:r>
        <w:rPr>
          <w:rFonts w:cs="Calibri" w:ascii="Times New Roman" w:hAnsi="Times New Roman"/>
          <w:b/>
          <w:sz w:val="24"/>
          <w:szCs w:val="24"/>
          <w:lang w:val="hr-HR"/>
        </w:rPr>
        <w:t>Članak 7.</w:t>
      </w:r>
      <w:bookmarkEnd w:id="5"/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4"/>
          <w:szCs w:val="24"/>
          <w:lang w:val="hr-HR"/>
        </w:rPr>
        <w:tab/>
        <w:t xml:space="preserve">Potpora u iznosu od najviše </w:t>
      </w:r>
      <w:bookmarkStart w:id="6" w:name="_Hlk122076365"/>
      <w:r>
        <w:rPr>
          <w:rFonts w:cs="Calibri" w:ascii="Times New Roman" w:hAnsi="Times New Roman"/>
          <w:bCs/>
          <w:sz w:val="24"/>
          <w:szCs w:val="24"/>
          <w:lang w:val="hr-HR"/>
        </w:rPr>
        <w:t>3.500,00 EUR (</w:t>
      </w:r>
      <w:r>
        <w:rPr>
          <w:rFonts w:cs="Calibri" w:ascii="Times New Roman" w:hAnsi="Times New Roman"/>
          <w:sz w:val="24"/>
          <w:szCs w:val="24"/>
          <w:lang w:val="hr-HR"/>
        </w:rPr>
        <w:t>tritisućepetstotinaeura</w:t>
      </w:r>
      <w:r>
        <w:rPr>
          <w:rFonts w:cs="Calibri" w:ascii="Times New Roman" w:hAnsi="Times New Roman"/>
          <w:bCs/>
          <w:sz w:val="24"/>
          <w:szCs w:val="24"/>
          <w:lang w:val="hr-HR"/>
        </w:rPr>
        <w:t xml:space="preserve">) </w:t>
      </w:r>
      <w:bookmarkEnd w:id="6"/>
      <w:r>
        <w:rPr>
          <w:rFonts w:cs="Calibri" w:ascii="Times New Roman" w:hAnsi="Times New Roman"/>
          <w:bCs/>
          <w:sz w:val="24"/>
          <w:szCs w:val="24"/>
          <w:lang w:val="hr-HR"/>
        </w:rPr>
        <w:t xml:space="preserve">ostvaruje se za kupovinu teretnih, dostavnih i drugih radnih vozila namijenjenih isključivo za obavljanje registrirane poslovne djelatnosti. </w:t>
      </w:r>
    </w:p>
    <w:p>
      <w:pPr>
        <w:pStyle w:val="Normal"/>
        <w:spacing w:lineRule="auto" w:line="240"/>
        <w:ind w:firstLine="709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4"/>
          <w:szCs w:val="24"/>
          <w:lang w:val="hr-HR"/>
        </w:rPr>
        <w:t>Za ostvarivanje prava na potporu, uz Zahtjev korisnik mora priložiti :</w:t>
      </w:r>
    </w:p>
    <w:p>
      <w:pPr>
        <w:pStyle w:val="Normal"/>
        <w:spacing w:lineRule="auto" w:line="240"/>
        <w:ind w:firstLine="709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4"/>
          <w:szCs w:val="24"/>
          <w:lang w:val="hr-HR"/>
        </w:rPr>
        <w:t>- preslik Rješenja o upisu djelatnosti u nadležni registar i</w:t>
      </w:r>
    </w:p>
    <w:p>
      <w:pPr>
        <w:pStyle w:val="Normal"/>
        <w:spacing w:lineRule="auto" w:line="240"/>
        <w:ind w:firstLine="709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4"/>
          <w:szCs w:val="24"/>
          <w:lang w:val="hr-HR"/>
        </w:rPr>
        <w:t>- presliku računa ili ugovor o kupoprodaji vozila</w:t>
      </w:r>
      <w:r>
        <w:rPr>
          <w:rFonts w:eastAsia="Calibri" w:cs="Calibri" w:ascii="Times New Roman" w:hAnsi="Times New Roman"/>
          <w:bCs/>
          <w:sz w:val="24"/>
          <w:szCs w:val="24"/>
          <w:lang w:val="hr-HR"/>
        </w:rPr>
        <w:t>/ presliku ponude za nabavku vozila,</w:t>
      </w:r>
    </w:p>
    <w:p>
      <w:pPr>
        <w:pStyle w:val="Normal"/>
        <w:spacing w:lineRule="auto" w:line="240"/>
        <w:ind w:left="709" w:hanging="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Cs/>
          <w:sz w:val="24"/>
          <w:szCs w:val="24"/>
          <w:lang w:val="hr-HR"/>
        </w:rPr>
        <w:t xml:space="preserve">- dokaz o izvršenom plaćanju </w:t>
      </w:r>
      <w:r>
        <w:rPr>
          <w:rFonts w:cs="Calibri" w:ascii="Times New Roman" w:hAnsi="Times New Roman"/>
          <w:sz w:val="24"/>
          <w:szCs w:val="24"/>
          <w:lang w:val="hr-HR"/>
        </w:rPr>
        <w:t>izvadak o stanju transakcijskog računa na dan izvršenog plaćanja),</w:t>
      </w:r>
    </w:p>
    <w:p>
      <w:pPr>
        <w:pStyle w:val="Normal"/>
        <w:spacing w:lineRule="auto" w:line="240"/>
        <w:ind w:firstLine="709"/>
        <w:rPr>
          <w:rFonts w:ascii="Times New Roman" w:hAnsi="Times New Roman"/>
        </w:rPr>
      </w:pPr>
      <w:r>
        <w:rPr>
          <w:rFonts w:eastAsia="Calibri" w:cs="Calibri" w:ascii="Times New Roman" w:hAnsi="Times New Roman"/>
          <w:bCs/>
          <w:sz w:val="24"/>
          <w:szCs w:val="24"/>
          <w:lang w:val="hr-HR"/>
        </w:rPr>
        <w:t>- presliku prometne dozvole koja glasi na podnositelja zahtjeva.</w:t>
      </w:r>
    </w:p>
    <w:p>
      <w:pPr>
        <w:pStyle w:val="Normal"/>
        <w:spacing w:lineRule="auto" w:line="24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POTREBNA DOKUMENTACIJA I POSTUPAK DODJELE POTPORE</w:t>
      </w:r>
    </w:p>
    <w:p>
      <w:pPr>
        <w:pStyle w:val="Normal"/>
        <w:spacing w:lineRule="auto" w:line="240"/>
        <w:ind w:left="3916" w:firstLine="338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4"/>
          <w:szCs w:val="24"/>
          <w:lang w:val="hr-HR"/>
        </w:rPr>
        <w:t>Članak 8.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Potpore se dodjeljuju na temelju podnesenog zahtjeva uz sljedeću priloženu dokumentaciju 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Popunjeni obrazac Zahtjeva za potporu,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Presliku osobne iskaznice - za fizičke osobe,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Presliku dokaza o upisu u odgovarajući registar - za trgovačka društva i obrte,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Potvrdu Porezne uprave o podmirenim obvezama s osnove javnih davanja,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Presliku kartice žiro računa,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Druge dokumente propisane za određene mjere potpore.</w:t>
      </w:r>
    </w:p>
    <w:p>
      <w:pPr>
        <w:pStyle w:val="Normal"/>
        <w:spacing w:lineRule="auto" w:line="240"/>
        <w:ind w:left="1068" w:hanging="0"/>
        <w:jc w:val="both"/>
        <w:rPr>
          <w:rFonts w:ascii="Times New Roman" w:hAnsi="Times New Roman" w:eastAsia="Calibri" w:cs="Calibri"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  <w:t>Za provedbu ovog Pravilnika raspisat će se Javni poziv.</w:t>
      </w:r>
    </w:p>
    <w:p>
      <w:pPr>
        <w:pStyle w:val="Normal"/>
        <w:spacing w:lineRule="auto" w:line="240"/>
        <w:jc w:val="both"/>
        <w:rPr/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  <w:t xml:space="preserve">Zahtjevi za mjere potpore objavljuju se na Internet stranici Općine Negoslavci </w:t>
      </w:r>
      <w:hyperlink r:id="rId6">
        <w:r>
          <w:rPr>
            <w:rStyle w:val="Internetskapoveznica"/>
            <w:rFonts w:eastAsia="Calibri" w:cs="Calibri" w:ascii="Times New Roman" w:hAnsi="Times New Roman"/>
            <w:color w:val="0563C1"/>
            <w:sz w:val="24"/>
            <w:szCs w:val="24"/>
            <w:lang w:val="hr-HR"/>
          </w:rPr>
          <w:t>www.opcina-negoslavci.hr</w:t>
        </w:r>
      </w:hyperlink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 a mogu se preuzeti i u Jedinstvenom upravnom odjelu Općine Negoslavci.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Javni poziv bit će otvoren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Nepotpune i nepravovremene prijave neće se razmatrati.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Prednost za ostvarivanje prava ove Mjere ima korisnik potpore koji je prije predao dokumentaciju.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U slučaju eventualne potrebe, JUO će tražiti nadopunu dokumentacije koju je prijavitelj dužan dostaviti u roku od 5 radnih dana od dana primitka Zahtjeva za nadopunu. Ukoliko prijavitelj ne dostavi traženu dokumentaciju u navedenom roku, njegova se prijava neće razmatrati.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JUO nakon provjere administrativne ispravnosti donosi prijedlog Odluke o dodjeli sredstava potpore i dostavlja Općinskom načelniku  na verificiranje.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lang w:val="hr-HR"/>
        </w:rPr>
        <w:t>Članak 9.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Odluku o dodjeli potpore donosi Općinski načelnik na prijedlog JUO.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Odluka se objavljuje na Internet stranici Općine Negoslavci najkasnije u roku od 8 dana od dana njezinog donošenja.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Na Odluku o dodjeli potpore Općinskog načelnika može se podnijeti žalba Općinskom vijeću Općine Negoslavci u roku od 8 dana od dana prijema.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Calibri" w:cs="Calibri"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ind w:firstLine="142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lang w:val="hr-HR"/>
        </w:rPr>
        <w:t>Članak 10.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 xml:space="preserve">Korisnik potpore koji primi sredstva iz ovog Programa obvezan je obavljati djelatnost za koju je potpora dodijeljena najmanje dvije (2) godine od dana primitka sredstava.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Korisnik potpore ne smije otuđiti predmet potpore niti mu promijeniti namjenu te ga je dužan održavati u svrsi i funkciji najmanje dvije (2) godine od dana primitka sredstava.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Nepoštivanje ove obveze smatra se krivim raskidom ugovora o dodjeli potpore, uz pravo davatelja potpore na povrat dodijeljenih sredstava u skladu s uvjetima iz ugovora i pravilnika.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Članak 11.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Korisnik je obvezan dodijeljena sredstva koristiti isključivo za realizaciju mjere za koju su sredstva dodijeljena.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 xml:space="preserve">Korisnik potpore dužan je omogućiti davatelju potpore kontrolu namjenskog utroška dobivenih sredstava.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 xml:space="preserve">Stručnu i administrativnu kontrolu dodjele potpora provodi Jedinstveni upravni odjel Općine Negoslavci.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  <w:lang w:val="hr-HR"/>
        </w:rPr>
        <w:t>Ukoliko je korisnik potpore priložio neistinitu dokumentaciju ili prijavljeno stanje ne odgovara stvarnom stanju, korisnik dobivena sredstva mora vratiti u proračun Općine Negoslavci, te će biti isključen iz svih potpora Općine Negoslavci u narednih pet (5) godina.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Kao jamstvo za uredno ispunjenje odredbi iz Pravilnika korisnik potpore je prije zaključivanja Ugovora o dodjeli potpore obvezan </w:t>
      </w:r>
      <w:r>
        <w:rPr>
          <w:rFonts w:ascii="Times New Roman" w:hAnsi="Times New Roman"/>
          <w:sz w:val="24"/>
          <w:szCs w:val="24"/>
          <w:lang w:val="hr-HR"/>
        </w:rPr>
        <w:t>Jedinstvenom upravnom odjelu Općine Negoslavci</w:t>
      </w:r>
      <w:r>
        <w:rPr>
          <w:rFonts w:ascii="Times New Roman" w:hAnsi="Times New Roman"/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Korisniku potpore koji je dostavio bjanko zadužnicu kao instrument osiguranja neiskorištena bjanko zadužnica se vraća po proteku 5 godina od dana realiziranja subvencije.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cs="Calibri" w:ascii="Times New Roman" w:hAnsi="Times New Roman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ZAVRŠNE ODREDBE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Članak 12.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iCs/>
          <w:sz w:val="24"/>
          <w:szCs w:val="24"/>
          <w:lang w:val="hr-HR"/>
        </w:rPr>
        <w:t xml:space="preserve">Najviši ukupni iznos potpore iz proračuna Općine Negoslavci za tekuću godinu, kojeg korisnik potpore može ostvariti po svim osnovama ovog Pravilnika je </w:t>
      </w:r>
      <w:r>
        <w:rPr>
          <w:rFonts w:cs="Calibri" w:ascii="Times New Roman" w:hAnsi="Times New Roman"/>
          <w:bCs/>
          <w:sz w:val="24"/>
          <w:szCs w:val="24"/>
          <w:lang w:val="hr-HR"/>
        </w:rPr>
        <w:t xml:space="preserve">3.500,00 eura (četiritisućeeura), </w:t>
      </w:r>
      <w:r>
        <w:rPr>
          <w:rFonts w:cs="Calibri" w:ascii="Times New Roman" w:hAnsi="Times New Roman"/>
          <w:sz w:val="24"/>
          <w:szCs w:val="24"/>
          <w:lang w:val="hr-HR"/>
        </w:rPr>
        <w:t>poticaj za isti trošak ili istu jedinicu proizvodnje se može ostvariti samo jednom, a isplaćuje se jednokratno.</w:t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Članak 13.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ab/>
      </w:r>
      <w:r>
        <w:rPr>
          <w:rFonts w:eastAsia="Calibri" w:ascii="Times New Roman" w:hAnsi="Times New Roman"/>
          <w:sz w:val="24"/>
          <w:szCs w:val="24"/>
          <w:lang w:val="hr-HR"/>
        </w:rPr>
        <w:t>Financijska sredstva za provedbu ovog Pravilnika planirana su u proračunu Općine Negoslavci za 2025. godinu u iznosu od 10.000,00 EUR.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/>
          <w:sz w:val="24"/>
          <w:szCs w:val="24"/>
          <w:lang w:val="hr-HR"/>
        </w:rPr>
      </w:pPr>
      <w:r>
        <w:rPr>
          <w:rFonts w:eastAsia="Calibri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Članak 14.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  <w:lang w:val="hr-HR"/>
        </w:rPr>
        <w:t>Ovaj Pravilnik stupa na snagu osmi dan od dana objave u Službenom glasniku Općine Negoslavci.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300-01/25-01/01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 2196-19-01-25-01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Negoslavci, 5. studenoga 2025. </w:t>
      </w:r>
    </w:p>
    <w:p>
      <w:pPr>
        <w:pStyle w:val="Normal"/>
        <w:spacing w:lineRule="auto" w:line="240"/>
        <w:jc w:val="right"/>
        <w:rPr>
          <w:rFonts w:ascii="Times New Roman" w:hAnsi="Times New Roman"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lang w:val="hr-HR"/>
        </w:rPr>
        <w:t>OPĆINSKI NAČELNIK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Cs/>
          <w:sz w:val="24"/>
          <w:szCs w:val="24"/>
          <w:lang w:val="hr-HR"/>
        </w:rPr>
        <w:t>Dušan Jeckov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61355" cy="36830"/>
            <wp:effectExtent l="0" t="0" r="0" b="0"/>
            <wp:docPr id="4" name="Slik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Na </w:t>
      </w:r>
      <w:r>
        <w:rPr>
          <w:rFonts w:cs="Times New Roman" w:ascii="Times New Roman" w:hAnsi="Times New Roman"/>
          <w:sz w:val="24"/>
          <w:szCs w:val="24"/>
        </w:rPr>
        <w:t>temelju članka 48. stavk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1. točke 5. Zakona o lokalnoj i područnoj (regionalnoj)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samoupravi (</w:t>
      </w:r>
      <w:r>
        <w:rPr>
          <w:rFonts w:cs="Times New Roman" w:ascii="Times New Roman" w:hAnsi="Times New Roman"/>
          <w:sz w:val="24"/>
          <w:szCs w:val="24"/>
          <w:lang w:val="hr-HR"/>
        </w:rPr>
        <w:t>„Narodne novine“ broj</w:t>
      </w:r>
      <w:r>
        <w:rPr>
          <w:rFonts w:cs="Times New Roman" w:ascii="Times New Roman" w:hAnsi="Times New Roman"/>
          <w:sz w:val="24"/>
          <w:szCs w:val="24"/>
        </w:rPr>
        <w:t xml:space="preserve"> 33/01, 60/01, 129/05, 109/07, 125/08, 36/09, 150/11,144/12, 19/13, 137/15, 123/17</w:t>
      </w:r>
      <w:r>
        <w:rPr>
          <w:rFonts w:cs="Times New Roman" w:ascii="Times New Roman" w:hAnsi="Times New Roman"/>
          <w:sz w:val="24"/>
          <w:szCs w:val="24"/>
          <w:lang w:val="hr-HR"/>
        </w:rPr>
        <w:t>, 98/19, 144/20.</w:t>
      </w:r>
      <w:r>
        <w:rPr>
          <w:rFonts w:cs="Times New Roman" w:ascii="Times New Roman" w:hAnsi="Times New Roman"/>
          <w:sz w:val="24"/>
          <w:szCs w:val="24"/>
        </w:rPr>
        <w:t xml:space="preserve">) te članka </w:t>
      </w:r>
      <w:r>
        <w:rPr>
          <w:rFonts w:cs="Times New Roman" w:ascii="Times New Roman" w:hAnsi="Times New Roman"/>
          <w:color w:val="000000"/>
          <w:sz w:val="24"/>
          <w:szCs w:val="24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, točke 2.</w:t>
      </w:r>
      <w:r>
        <w:rPr>
          <w:rFonts w:cs="Times New Roman" w:ascii="Times New Roman" w:hAnsi="Times New Roman"/>
          <w:sz w:val="24"/>
          <w:szCs w:val="24"/>
        </w:rPr>
        <w:t xml:space="preserve"> Statuta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Općine Negoslavci </w:t>
      </w:r>
      <w:r>
        <w:rPr>
          <w:rFonts w:cs="Times New Roman" w:ascii="Times New Roman" w:hAnsi="Times New Roman"/>
          <w:sz w:val="24"/>
          <w:szCs w:val="24"/>
        </w:rPr>
        <w:t xml:space="preserve">(Službeni </w:t>
      </w:r>
      <w:r>
        <w:rPr>
          <w:rFonts w:cs="Times New Roman" w:ascii="Times New Roman" w:hAnsi="Times New Roman"/>
          <w:sz w:val="24"/>
          <w:szCs w:val="24"/>
          <w:lang w:val="hr-HR"/>
        </w:rPr>
        <w:t>glasnik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 4/25)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 Općine Negoslavci dana 5. studenoga 2025. donosi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PRAVILNIK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o sufinanciranju kupnje kuće za mlade i mlade obitelji na području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b/>
          <w:sz w:val="24"/>
          <w:szCs w:val="24"/>
        </w:rPr>
        <w:t xml:space="preserve"> za 20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25</w:t>
      </w:r>
      <w:r>
        <w:rPr>
          <w:rFonts w:cs="Times New Roman" w:ascii="Times New Roman" w:hAnsi="Times New Roman"/>
          <w:b/>
          <w:sz w:val="24"/>
          <w:szCs w:val="24"/>
        </w:rPr>
        <w:t>. godinu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OPĆE ODREDBE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Ovim Pravilnikom se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propisuju</w:t>
      </w:r>
      <w:r>
        <w:rPr>
          <w:rFonts w:cs="Times New Roman" w:ascii="Times New Roman" w:hAnsi="Times New Roman"/>
          <w:sz w:val="24"/>
          <w:szCs w:val="24"/>
        </w:rPr>
        <w:t xml:space="preserve"> uvjeti, način, postupak ostvarivanja prava na potporu, rokovi,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postupak podnošenja zahtjeva za dodjelu potpore, visina potpore te dokumentacija potrebna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za ostvarivanje prava na potporu za provedbu mjere za sufinanciranje kupnje kuće za mlade i mlade obitelji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Za provođenje ovog Pravilnika zadužuj</w:t>
      </w:r>
      <w:r>
        <w:rPr>
          <w:rFonts w:cs="Times New Roman" w:ascii="Times New Roman" w:hAnsi="Times New Roman"/>
          <w:sz w:val="24"/>
          <w:szCs w:val="24"/>
          <w:lang w:val="hr-HR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 se </w:t>
      </w:r>
      <w:bookmarkStart w:id="7" w:name="_Hlk121909151"/>
      <w:r>
        <w:rPr>
          <w:rFonts w:cs="Times New Roman" w:ascii="Times New Roman" w:hAnsi="Times New Roman"/>
          <w:sz w:val="24"/>
          <w:szCs w:val="24"/>
        </w:rPr>
        <w:t xml:space="preserve">Povjerenstvo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bookmarkEnd w:id="7"/>
      <w:r>
        <w:rPr>
          <w:rFonts w:cs="Times New Roman" w:ascii="Times New Roman" w:hAnsi="Times New Roman"/>
          <w:sz w:val="24"/>
          <w:szCs w:val="24"/>
          <w:lang w:val="hr-HR"/>
        </w:rPr>
        <w:t>i Povjerenstvo za rješavanje prigovora.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Svako </w:t>
      </w:r>
      <w:r>
        <w:rPr>
          <w:rFonts w:cs="Times New Roman" w:ascii="Times New Roman" w:hAnsi="Times New Roman"/>
          <w:sz w:val="24"/>
          <w:szCs w:val="24"/>
        </w:rPr>
        <w:t xml:space="preserve">Povjerenstvo čine predsjednik i dva člana koje imenuje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će </w:t>
      </w:r>
      <w:r>
        <w:rPr>
          <w:rFonts w:cs="Times New Roman" w:ascii="Times New Roman" w:hAnsi="Times New Roman"/>
          <w:sz w:val="24"/>
          <w:szCs w:val="24"/>
          <w:lang w:val="hr-HR"/>
        </w:rPr>
        <w:t>sve aktivnosti provoditi sukladno odredbama ovoga Pravilnika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UVJETI ZA DODJELU POTPORE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Potpora za ovu mjeru dodjeljuje se mladima i mladim obiteljima, a ostvaruje se uz slijedeće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uvjete: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rihvatljivi korisnici ove mjere su osobe koje u trenutku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podnošenja zahtjeva </w:t>
      </w:r>
      <w:r>
        <w:rPr>
          <w:rFonts w:cs="Times New Roman" w:ascii="Times New Roman" w:hAnsi="Times New Roman"/>
          <w:sz w:val="24"/>
          <w:szCs w:val="24"/>
        </w:rPr>
        <w:t>nisu starije od 45 godina,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odnosno podnositelj zahtjeva ne smije biti stariji od 45 godina,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da </w:t>
      </w:r>
      <w:r>
        <w:rPr>
          <w:rFonts w:cs="Times New Roman" w:ascii="Times New Roman" w:hAnsi="Times New Roman"/>
          <w:sz w:val="24"/>
          <w:szCs w:val="24"/>
        </w:rPr>
        <w:t xml:space="preserve">podnositelj zahtjeva kupuje kuću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da </w:t>
      </w:r>
      <w:r>
        <w:rPr>
          <w:rFonts w:cs="Times New Roman" w:ascii="Times New Roman" w:hAnsi="Times New Roman"/>
          <w:sz w:val="24"/>
          <w:szCs w:val="24"/>
        </w:rPr>
        <w:t xml:space="preserve">podnositelj zahtjeva nema duga na ime javnih davanja </w:t>
      </w:r>
      <w:r>
        <w:rPr>
          <w:rFonts w:cs="Times New Roman" w:ascii="Times New Roman" w:hAnsi="Times New Roman"/>
          <w:sz w:val="24"/>
          <w:szCs w:val="24"/>
          <w:lang w:val="hr-HR"/>
        </w:rPr>
        <w:t>o kojima evidenciju vodi nadležna ispostava Porezne uprave, kao ni dugovanja prema Općini Negoslavci,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4. da podnositelj zahtjeva nije u razdoblju unazad 5 godina ostvario promet nekretninama, odnosno nije na bilo koji način otuđio stan ili obiteljsku kuću uvjetnu za stanovanje ili građevinsko zemljište za izgradnju stambenog objekta,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5. </w:t>
      </w:r>
      <w:bookmarkStart w:id="8" w:name="_Hlk121909023"/>
      <w:r>
        <w:rPr>
          <w:rFonts w:cs="Times New Roman" w:ascii="Times New Roman" w:hAnsi="Times New Roman"/>
          <w:sz w:val="24"/>
          <w:szCs w:val="24"/>
          <w:lang w:val="hr-HR"/>
        </w:rPr>
        <w:t>da podnositelj zahtjeva i članovi njegove obitelji imaju prijavljeno prebivalište, odnosno stanuju na području Općine Negoslavci najmanje 6 mjeseci do dana objave Javnog poziva, pri čemu se pod pojmom „stanuju” podrazumijeva i namjera stanovanja koja se iskazuje kupnjom kuće na području Općine Negoslavci,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bookmarkEnd w:id="8"/>
      <w:r>
        <w:rPr>
          <w:rFonts w:cs="Times New Roman" w:ascii="Times New Roman" w:hAnsi="Times New Roman"/>
          <w:sz w:val="24"/>
          <w:szCs w:val="24"/>
          <w:lang w:val="hr-HR"/>
        </w:rPr>
        <w:t>6</w:t>
      </w:r>
      <w:r>
        <w:rPr>
          <w:rFonts w:cs="Times New Roman" w:ascii="Times New Roman" w:hAnsi="Times New Roman"/>
          <w:sz w:val="24"/>
          <w:szCs w:val="24"/>
        </w:rPr>
        <w:t>. fizička osoba prodavatelj nekretnine ne smije biti u srodstvu s podnositeljem zahtjeva 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članovima njegove obitelji do trećeg nasljednog reda u smislu Zakona o nasljeđivanju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lang w:val="hr-HR"/>
        </w:rPr>
        <w:t>„</w:t>
      </w:r>
      <w:r>
        <w:rPr>
          <w:rFonts w:cs="Times New Roman" w:ascii="Times New Roman" w:hAnsi="Times New Roman"/>
          <w:sz w:val="24"/>
          <w:szCs w:val="24"/>
        </w:rPr>
        <w:t>Narodne novine</w:t>
      </w:r>
      <w:r>
        <w:rPr>
          <w:rFonts w:cs="Times New Roman" w:ascii="Times New Roman" w:hAnsi="Times New Roman"/>
          <w:sz w:val="24"/>
          <w:szCs w:val="24"/>
          <w:lang w:val="hr-HR"/>
        </w:rPr>
        <w:t>“</w:t>
      </w:r>
      <w:r>
        <w:rPr>
          <w:rFonts w:cs="Times New Roman" w:ascii="Times New Roman" w:hAnsi="Times New Roman"/>
          <w:sz w:val="24"/>
          <w:szCs w:val="24"/>
        </w:rPr>
        <w:t xml:space="preserve"> broj 48/03, 163/03, 35/05, 127/13</w:t>
      </w:r>
      <w:r>
        <w:rPr>
          <w:rFonts w:cs="Times New Roman" w:ascii="Times New Roman" w:hAnsi="Times New Roman"/>
          <w:sz w:val="24"/>
          <w:szCs w:val="24"/>
          <w:lang w:val="hr-H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33/15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i 14/19.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Općina Negoslavci</w:t>
      </w:r>
      <w:r>
        <w:rPr>
          <w:rFonts w:cs="Times New Roman" w:ascii="Times New Roman" w:hAnsi="Times New Roman"/>
          <w:sz w:val="24"/>
          <w:szCs w:val="24"/>
        </w:rPr>
        <w:t xml:space="preserve"> će sufinancirati kupnju kuće pod uvjetom da vlasnik objekta nakon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24 </w:t>
      </w:r>
      <w:r>
        <w:rPr>
          <w:rFonts w:cs="Times New Roman" w:ascii="Times New Roman" w:hAnsi="Times New Roman"/>
          <w:sz w:val="24"/>
          <w:szCs w:val="24"/>
        </w:rPr>
        <w:t>mjesec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od primitka novčanih sredstava iz ove mjere počne </w:t>
      </w:r>
      <w:r>
        <w:rPr>
          <w:rFonts w:cs="Times New Roman" w:ascii="Times New Roman" w:hAnsi="Times New Roman"/>
          <w:sz w:val="24"/>
          <w:szCs w:val="24"/>
          <w:lang w:val="hr-HR"/>
        </w:rPr>
        <w:t>koristiti</w:t>
      </w:r>
      <w:r>
        <w:rPr>
          <w:rFonts w:cs="Times New Roman" w:ascii="Times New Roman" w:hAnsi="Times New Roman"/>
          <w:sz w:val="24"/>
          <w:szCs w:val="24"/>
        </w:rPr>
        <w:t xml:space="preserve"> kupljen</w:t>
      </w:r>
      <w:r>
        <w:rPr>
          <w:rFonts w:cs="Times New Roman" w:ascii="Times New Roman" w:hAnsi="Times New Roman"/>
          <w:sz w:val="24"/>
          <w:szCs w:val="24"/>
          <w:lang w:val="hr-HR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stambeni </w:t>
      </w:r>
      <w:r>
        <w:rPr>
          <w:rFonts w:cs="Times New Roman" w:ascii="Times New Roman" w:hAnsi="Times New Roman"/>
          <w:sz w:val="24"/>
          <w:szCs w:val="24"/>
        </w:rPr>
        <w:t>objekt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 xml:space="preserve">Vlasnik objekta ne smije otuđiti objekt </w:t>
      </w:r>
      <w:r>
        <w:rPr>
          <w:rFonts w:cs="Times New Roman" w:ascii="Times New Roman" w:hAnsi="Times New Roman"/>
          <w:sz w:val="24"/>
          <w:szCs w:val="24"/>
        </w:rPr>
        <w:t>najmanje 5 godina računajući od godine u kojoj je ostvario potporu.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Ukoliko korisnik potpore, uslijed objektivnih okolnosti na koje nije mogao utjecati ili uslijed okolnosti izazvanih višom silom, nije u mogućnosti ispoštovati rok propisan stavkom 2. ovoga članka, dužan je najkasnije 8 dana prije istoka navedenog roka Jedinstvenom upravnom odjelu Općine Negoslavci dostaviti pisani zahtjev za produljenje istoga.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bookmarkStart w:id="9" w:name="_Hlk121903648"/>
      <w:r>
        <w:rPr>
          <w:rFonts w:cs="Times New Roman" w:ascii="Times New Roman" w:hAnsi="Times New Roman"/>
          <w:sz w:val="24"/>
          <w:szCs w:val="24"/>
        </w:rPr>
        <w:t>Kao jamstvo za uredno ispunjenje rokova useljenja u kuću  i jamstvo da kupljenu kuću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neće </w:t>
      </w:r>
      <w:r>
        <w:rPr>
          <w:rFonts w:cs="Times New Roman" w:ascii="Times New Roman" w:hAnsi="Times New Roman"/>
          <w:sz w:val="24"/>
          <w:szCs w:val="24"/>
          <w:lang w:val="hr-HR"/>
        </w:rPr>
        <w:t>otuđiti</w:t>
      </w:r>
      <w:r>
        <w:rPr>
          <w:rFonts w:cs="Times New Roman" w:ascii="Times New Roman" w:hAnsi="Times New Roman"/>
          <w:sz w:val="24"/>
          <w:szCs w:val="24"/>
        </w:rPr>
        <w:t xml:space="preserve"> u roku od najmanje 5 godina, korisnik potpore je prije zaključivanja Ugovora o </w:t>
      </w:r>
      <w:r>
        <w:rPr>
          <w:rFonts w:cs="Times New Roman" w:ascii="Times New Roman" w:hAnsi="Times New Roman"/>
          <w:sz w:val="24"/>
          <w:szCs w:val="24"/>
          <w:lang w:val="hr-HR"/>
        </w:rPr>
        <w:t>sufinanciranju kupnje kuće</w:t>
      </w:r>
      <w:r>
        <w:rPr>
          <w:rFonts w:cs="Times New Roman" w:ascii="Times New Roman" w:hAnsi="Times New Roman"/>
          <w:sz w:val="24"/>
          <w:szCs w:val="24"/>
        </w:rPr>
        <w:t xml:space="preserve"> obvezan </w:t>
      </w:r>
      <w:r>
        <w:rPr>
          <w:rFonts w:cs="Times New Roman" w:ascii="Times New Roman" w:hAnsi="Times New Roman"/>
          <w:sz w:val="24"/>
          <w:szCs w:val="24"/>
          <w:lang w:val="hr-HR"/>
        </w:rPr>
        <w:t>Jedinstvenom upravnom odjelu Općine Negoslavci</w:t>
      </w:r>
      <w:r>
        <w:rPr>
          <w:rFonts w:cs="Times New Roman" w:ascii="Times New Roman" w:hAnsi="Times New Roman"/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Korisniku potpore koji je dostavio bjanko zadužnicu kao instrument osiguranja neiskorištena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bjanko zadužnica se vraća po proteku 5 godina od dana realiziranja subvencije.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End w:id="9"/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Članak 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Korisnik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potpore </w:t>
      </w:r>
      <w:r>
        <w:rPr>
          <w:rFonts w:cs="Times New Roman" w:ascii="Times New Roman" w:hAnsi="Times New Roman"/>
          <w:sz w:val="24"/>
          <w:szCs w:val="24"/>
        </w:rPr>
        <w:t xml:space="preserve"> dužan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je </w:t>
      </w:r>
      <w:r>
        <w:rPr>
          <w:rFonts w:cs="Times New Roman" w:ascii="Times New Roman" w:hAnsi="Times New Roman"/>
          <w:sz w:val="24"/>
          <w:szCs w:val="24"/>
        </w:rPr>
        <w:t xml:space="preserve">u razdoblju od 5 godina, svake godine u vremenu od </w:t>
      </w:r>
      <w:r>
        <w:rPr>
          <w:rFonts w:cs="Times New Roman" w:ascii="Times New Roman" w:hAnsi="Times New Roman"/>
          <w:sz w:val="24"/>
          <w:szCs w:val="24"/>
          <w:lang w:val="hr-HR"/>
        </w:rPr>
        <w:t>0</w:t>
      </w:r>
      <w:r>
        <w:rPr>
          <w:rFonts w:cs="Times New Roman" w:ascii="Times New Roman" w:hAnsi="Times New Roman"/>
          <w:sz w:val="24"/>
          <w:szCs w:val="24"/>
        </w:rPr>
        <w:t>1.12. - 31.12.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dostaviti </w:t>
      </w:r>
      <w:r>
        <w:rPr>
          <w:rFonts w:cs="Times New Roman" w:ascii="Times New Roman" w:hAnsi="Times New Roman"/>
          <w:sz w:val="24"/>
          <w:szCs w:val="24"/>
          <w:lang w:val="hr-HR"/>
        </w:rPr>
        <w:t>Jedinstvenom upravnom odjelu Općine Negoslavci</w:t>
      </w:r>
      <w:r>
        <w:rPr>
          <w:rFonts w:cs="Times New Roman" w:ascii="Times New Roman" w:hAnsi="Times New Roman"/>
          <w:sz w:val="24"/>
          <w:szCs w:val="24"/>
        </w:rPr>
        <w:t xml:space="preserve"> dokaz o prebivalištu/</w:t>
      </w:r>
      <w:r>
        <w:rPr>
          <w:rFonts w:cs="Times New Roman" w:ascii="Times New Roman" w:hAnsi="Times New Roman"/>
          <w:sz w:val="24"/>
          <w:szCs w:val="24"/>
          <w:lang w:val="hr-HR"/>
        </w:rPr>
        <w:t>stanovanju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PROVEDBA MJERE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Članak 6.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Za provedbu ove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</w:t>
      </w:r>
      <w:r>
        <w:rPr>
          <w:rFonts w:cs="Times New Roman" w:ascii="Times New Roman" w:hAnsi="Times New Roman"/>
          <w:sz w:val="24"/>
          <w:szCs w:val="24"/>
          <w:lang w:val="hr-H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u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roračunu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za 20</w:t>
      </w:r>
      <w:r>
        <w:rPr>
          <w:rFonts w:cs="Times New Roman" w:ascii="Times New Roman" w:hAnsi="Times New Roman"/>
          <w:sz w:val="24"/>
          <w:szCs w:val="24"/>
          <w:lang w:val="hr-HR"/>
        </w:rPr>
        <w:t>25</w:t>
      </w:r>
      <w:r>
        <w:rPr>
          <w:rFonts w:cs="Times New Roman" w:ascii="Times New Roman" w:hAnsi="Times New Roman"/>
          <w:sz w:val="24"/>
          <w:szCs w:val="24"/>
        </w:rPr>
        <w:t>. godinu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su osigurana sredstva.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Općina Negoslavci</w:t>
      </w:r>
      <w:r>
        <w:rPr>
          <w:rFonts w:cs="Times New Roman" w:ascii="Times New Roman" w:hAnsi="Times New Roman"/>
          <w:sz w:val="24"/>
          <w:szCs w:val="24"/>
        </w:rPr>
        <w:t xml:space="preserve"> će sufinancirati kupnju kuće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na području Općine Negoslavci </w:t>
      </w:r>
      <w:r>
        <w:rPr>
          <w:rFonts w:cs="Times New Roman" w:ascii="Times New Roman" w:hAnsi="Times New Roman"/>
          <w:sz w:val="24"/>
          <w:szCs w:val="24"/>
        </w:rPr>
        <w:t xml:space="preserve">u iznosu od </w:t>
      </w:r>
      <w:r>
        <w:rPr>
          <w:rFonts w:cs="Times New Roman" w:ascii="Times New Roman" w:hAnsi="Times New Roman"/>
          <w:bCs/>
          <w:sz w:val="24"/>
          <w:szCs w:val="24"/>
          <w:lang w:val="hr-HR"/>
        </w:rPr>
        <w:t>odnosno 3.500,00 EUR (tritisućepetstoeura).</w:t>
      </w:r>
    </w:p>
    <w:p>
      <w:pPr>
        <w:pStyle w:val="Normal"/>
        <w:spacing w:lineRule="auto" w:line="240"/>
        <w:ind w:left="-426" w:firstLine="426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cs="Times New Roman" w:ascii="Times New Roman" w:hAnsi="Times New Roman"/>
          <w:bCs/>
          <w:sz w:val="24"/>
          <w:szCs w:val="24"/>
          <w:lang w:val="hr-HR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ZAJEDNIČKE ODREDBE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Za provedbu ove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 iz ovog Pravilnika raspisat će se Javni poziv.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Javni poziv raspisuje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Javni poziv bit će otvoren </w:t>
      </w: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8.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Prijave će se ocjenjivati temeljem kriterija i dodjelom odgovarajućeg broja bodova uz svaki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kriterij </w:t>
      </w:r>
      <w:r>
        <w:rPr>
          <w:rFonts w:cs="Times New Roman" w:ascii="Times New Roman" w:hAnsi="Times New Roman"/>
          <w:sz w:val="24"/>
          <w:szCs w:val="24"/>
          <w:lang w:val="hr-HR"/>
        </w:rPr>
        <w:t>(PRILOG 1 Pravilnika).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Sve pristigle prijave će ocijeniti članovi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te utvrđivanja prijedloga Odluke o dodjeli potpora temeljem Javnog poziva za sufinanciranje kupnje kuće za mlade i mlade obitelji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 u 2025. godini.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Nepotpune i nepravovremene prijave neće se razmatrati.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Ukoliko dvije ili više prijava imaju isti broj utvrđenih bodova, prednost za ostvarivanje prava ove Mjere ima korisnik potpore koji je prije predao dokumentaciju.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U slučaju eventualne potrebe,</w:t>
      </w:r>
      <w:r>
        <w:rPr>
          <w:rFonts w:cs="Times New Roman" w:ascii="Times New Roman" w:hAnsi="Times New Roman"/>
          <w:sz w:val="24"/>
          <w:szCs w:val="24"/>
        </w:rPr>
        <w:t xml:space="preserve"> Povjerenstvo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za </w:t>
      </w:r>
      <w:r>
        <w:rPr>
          <w:rFonts w:cs="Times New Roman" w:ascii="Times New Roman" w:hAnsi="Times New Roman"/>
          <w:sz w:val="24"/>
          <w:szCs w:val="24"/>
        </w:rPr>
        <w:t xml:space="preserve">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će tražiti nadopunu dokumentacije koju je prijavitelj dužan dostaviti u roku od 5 radnih dana od dana primitka Zahtjeva za nadopunu.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Ukoliko prijavitelj ne dostavi traženu dokumentaciju u navedenom roku, njegova se prijava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neće razmatrati.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Povjerenstvo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nakon provedenog 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okončanog postupka sastavlja prijedlog Odluke o dodjeli sredstava potpore i </w:t>
      </w:r>
      <w:r>
        <w:rPr>
          <w:rFonts w:cs="Times New Roman" w:ascii="Times New Roman" w:hAnsi="Times New Roman"/>
          <w:sz w:val="24"/>
          <w:szCs w:val="24"/>
        </w:rPr>
        <w:t xml:space="preserve">dostavlja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Općinskom načelniku na verificiranje.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U postupku utvrđivanja prijedloga Odluke na sjednici se razmatra Zapisnik o javnom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otvaranju zahtjeva</w:t>
      </w:r>
      <w:r>
        <w:rPr>
          <w:rFonts w:cs="Times New Roman" w:ascii="Times New Roman" w:hAnsi="Times New Roman"/>
          <w:sz w:val="24"/>
          <w:szCs w:val="24"/>
          <w:lang w:val="hr-HR"/>
        </w:rPr>
        <w:t>, koji potpisuju svi članovi Povjerenstva.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Prijedlog Odluke potpisuje Predsjednik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Odluku o dodjeli potpore donosi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</w:t>
      </w:r>
      <w:r>
        <w:rPr>
          <w:rFonts w:cs="Times New Roman" w:ascii="Times New Roman" w:hAnsi="Times New Roman"/>
          <w:sz w:val="24"/>
          <w:szCs w:val="24"/>
        </w:rPr>
        <w:t xml:space="preserve"> na prijedlog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Odluka se objavljuje na </w:t>
      </w:r>
      <w:r>
        <w:rPr>
          <w:rFonts w:cs="Times New Roman" w:ascii="Times New Roman" w:hAnsi="Times New Roman"/>
          <w:sz w:val="24"/>
          <w:szCs w:val="24"/>
          <w:lang w:val="hr-HR"/>
        </w:rPr>
        <w:t>Internet stranici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najkasnije u roku od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15 dana od dana njezinog donošenja.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</w:rPr>
      </w:pPr>
      <w:bookmarkStart w:id="10" w:name="_Hlk121909218"/>
      <w:bookmarkEnd w:id="10"/>
      <w:r>
        <w:rPr>
          <w:rFonts w:cs="Times New Roman" w:ascii="Times New Roman" w:hAnsi="Times New Roman"/>
          <w:sz w:val="24"/>
          <w:szCs w:val="24"/>
          <w:lang w:val="hr-HR"/>
        </w:rPr>
        <w:t>Prijavitelji koji nisu ostvarili pravo na dodjelu potpore mogu u roku od 5 dana od dana primitka pisane Obavijesti o tome podnijeti prigovor Povjerenstvu za rješavanje prigovora, koji u roku od 8 dana odlučuje o istome.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bookmarkStart w:id="11" w:name="_Hlk1219092181"/>
      <w:bookmarkEnd w:id="11"/>
      <w:r>
        <w:rPr>
          <w:rFonts w:cs="Times New Roman" w:ascii="Times New Roman" w:hAnsi="Times New Roman"/>
          <w:sz w:val="24"/>
          <w:szCs w:val="24"/>
        </w:rPr>
        <w:tab/>
      </w:r>
      <w:bookmarkStart w:id="12" w:name="_Hlk121909243"/>
      <w:r>
        <w:rPr>
          <w:rFonts w:cs="Times New Roman" w:ascii="Times New Roman" w:hAnsi="Times New Roman"/>
          <w:sz w:val="24"/>
          <w:szCs w:val="24"/>
          <w:lang w:val="hr-HR"/>
        </w:rPr>
        <w:t>Po konačnosti Odluke o sufinanciranju kupnje kuće na području Općine Negoslavci Općinski načelnik i korisnik sredstava zaključuju Ugovor o sufinanciranju kupnje kuće kojim se pobliže određuju prava i obveze obiju ugovornih strana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bookmarkEnd w:id="12"/>
      <w:r>
        <w:rPr>
          <w:rFonts w:cs="Times New Roman" w:ascii="Times New Roman" w:hAnsi="Times New Roman"/>
          <w:b/>
          <w:sz w:val="24"/>
          <w:szCs w:val="24"/>
        </w:rPr>
        <w:t>Članak 10.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Korisnik potpore dužan je omogućiti davatelju potpore kontrolu namjenskog utroška dobivene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potpore.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Ukoliko se utvrdi da je podnositelj ostvario potporu na temelju dostavljene neistinite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dokumentacije ili se utvrdi da je za istu namjenu primio potporu iz drugih izvora, dobivena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sredstva mora vratiti u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roračun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u roku od 15 dana od poziva za povrat te će biti isključen iz svih </w:t>
      </w:r>
      <w:r>
        <w:rPr>
          <w:rFonts w:cs="Times New Roman" w:ascii="Times New Roman" w:hAnsi="Times New Roman"/>
          <w:sz w:val="24"/>
          <w:szCs w:val="24"/>
          <w:lang w:val="hr-HR"/>
        </w:rPr>
        <w:t>općinskih</w:t>
      </w:r>
      <w:r>
        <w:rPr>
          <w:rFonts w:cs="Times New Roman" w:ascii="Times New Roman" w:hAnsi="Times New Roman"/>
          <w:sz w:val="24"/>
          <w:szCs w:val="24"/>
        </w:rPr>
        <w:t xml:space="preserve"> potpora u narednih 5 godina.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Ukoliko je korisniku </w:t>
      </w:r>
      <w:r>
        <w:rPr>
          <w:rFonts w:cs="Times New Roman" w:ascii="Times New Roman" w:hAnsi="Times New Roman"/>
          <w:sz w:val="24"/>
          <w:szCs w:val="24"/>
          <w:lang w:val="hr-HR"/>
        </w:rPr>
        <w:t>općinske</w:t>
      </w:r>
      <w:r>
        <w:rPr>
          <w:rFonts w:cs="Times New Roman" w:ascii="Times New Roman" w:hAnsi="Times New Roman"/>
          <w:sz w:val="24"/>
          <w:szCs w:val="24"/>
        </w:rPr>
        <w:t xml:space="preserve"> potpore u tekućoj godini pogreškom isplaćen viši iznos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potpore od odobrenog, dužan je u roku od 8 dana od primljene obavijesti o pogrešci viši iznos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isplaćene potpore vratiti u  proračun.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ZAVRŠNE ODREDBE</w:t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12.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Korisnici iz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 za sufinanciranje kupnje kuće za mlade i mlade obitelji 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pravo na potporu mogu ostvariti po Javnom pozivu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Obrazac za prijavu i sva potrebna dokumentacija bit će objavljena u Javnom pozivu.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1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Osobe koje su kupile kuću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u 2023., 2024., i 2025. godini do dana otvaranja Javnog poziva </w:t>
      </w:r>
      <w:r>
        <w:rPr>
          <w:rFonts w:cs="Times New Roman" w:ascii="Times New Roman" w:hAnsi="Times New Roman"/>
          <w:sz w:val="24"/>
          <w:szCs w:val="24"/>
        </w:rPr>
        <w:t xml:space="preserve">i koje zadovoljavaju sve uvjete ovog Pravilnika imaju pravo na potporu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temeljem </w:t>
      </w:r>
      <w:r>
        <w:rPr>
          <w:rFonts w:cs="Times New Roman" w:ascii="Times New Roman" w:hAnsi="Times New Roman"/>
          <w:sz w:val="24"/>
          <w:szCs w:val="24"/>
        </w:rPr>
        <w:t xml:space="preserve">ove Mjere, </w:t>
      </w:r>
      <w:r>
        <w:rPr>
          <w:rFonts w:cs="Times New Roman" w:ascii="Times New Roman" w:hAnsi="Times New Roman"/>
          <w:sz w:val="24"/>
          <w:szCs w:val="24"/>
          <w:lang w:val="hr-HR"/>
        </w:rPr>
        <w:t>što se dokazuje Ugovorom o kupoprodaji nekretnine ili vlasničkim listom ne starijim od 30 dana od dana objave Javnog poziva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Osobe koje su sklopile Predugovor o kupoprodaji</w:t>
      </w:r>
      <w:r>
        <w:rPr>
          <w:rFonts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>do dana otvaranja Javnog poziva</w:t>
      </w:r>
      <w:r>
        <w:rPr>
          <w:rFonts w:cs="Times New Roman" w:ascii="Times New Roman" w:hAnsi="Times New Roman"/>
          <w:sz w:val="24"/>
          <w:szCs w:val="24"/>
        </w:rPr>
        <w:t xml:space="preserve"> i koje zadovoljavaju sve uvjete ovog Pravilnika imaju pravo na potporu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temeljem </w:t>
      </w:r>
      <w:r>
        <w:rPr>
          <w:rFonts w:cs="Times New Roman" w:ascii="Times New Roman" w:hAnsi="Times New Roman"/>
          <w:sz w:val="24"/>
          <w:szCs w:val="24"/>
        </w:rPr>
        <w:t>ove Mjere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, pod uvjetom da po sklapanju Ugovora o kupoprodaji, a najkasnije u roku od 3 mjeseca od potpisa Ugovora o sufinanciranju sa Općinom dostave Ugovor o kupoprodaji nekretnine. 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Članak 14.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Ovaj Pravilnik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se </w:t>
      </w:r>
      <w:r>
        <w:rPr>
          <w:rFonts w:cs="Times New Roman" w:ascii="Times New Roman" w:hAnsi="Times New Roman"/>
          <w:sz w:val="24"/>
          <w:szCs w:val="24"/>
        </w:rPr>
        <w:t xml:space="preserve">odnosi na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roračun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 za 2025. godinu</w:t>
      </w:r>
      <w:r>
        <w:rPr>
          <w:rFonts w:cs="Times New Roman" w:ascii="Times New Roman" w:hAnsi="Times New Roman"/>
          <w:sz w:val="24"/>
          <w:szCs w:val="24"/>
        </w:rPr>
        <w:t xml:space="preserve"> 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objavit će se u Službenom </w:t>
      </w:r>
      <w:r>
        <w:rPr>
          <w:rFonts w:cs="Times New Roman" w:ascii="Times New Roman" w:hAnsi="Times New Roman"/>
          <w:sz w:val="24"/>
          <w:szCs w:val="24"/>
          <w:lang w:val="hr-HR"/>
        </w:rPr>
        <w:t>glasniku Općine Negoslavci</w:t>
      </w:r>
      <w:r>
        <w:rPr>
          <w:rFonts w:cs="Times New Roman" w:ascii="Times New Roman" w:hAnsi="Times New Roman"/>
          <w:sz w:val="24"/>
          <w:szCs w:val="24"/>
        </w:rPr>
        <w:t xml:space="preserve"> i na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internet </w:t>
      </w:r>
      <w:r>
        <w:rPr>
          <w:rFonts w:cs="Times New Roman" w:ascii="Times New Roman" w:hAnsi="Times New Roman"/>
          <w:sz w:val="24"/>
          <w:szCs w:val="24"/>
        </w:rPr>
        <w:t>stranici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Općine Negoslavci.</w:t>
      </w:r>
    </w:p>
    <w:p>
      <w:pPr>
        <w:pStyle w:val="Normal"/>
        <w:spacing w:lineRule="auto" w:line="240"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Članak 15.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Pravilnik stupa na snagu </w:t>
      </w:r>
      <w:r>
        <w:rPr>
          <w:rFonts w:cs="Times New Roman" w:ascii="Times New Roman" w:hAnsi="Times New Roman"/>
          <w:sz w:val="24"/>
          <w:szCs w:val="24"/>
          <w:lang w:val="hr-HR"/>
        </w:rPr>
        <w:t>osmog dana od dana objave u Službenom glasniku Općine Negoslavci.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KLASA: 370-01/25-01/01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URBROJ: 2196-19-01-25-01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Negoslavci, 5. studenoga 2025.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OPĆINSKI NAČELNIK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hr-HR"/>
        </w:rPr>
        <w:t>Dušan Jeckov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61355" cy="36830"/>
            <wp:effectExtent l="0" t="0" r="0" b="0"/>
            <wp:docPr id="5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9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2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9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294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1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1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1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character" w:styleId="WW8Num1z0">
    <w:name w:val="WW8Num1z0"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yperlink" Target="http://www.opcina-zakanje.hr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Application>LibreOffice/7.4.1.2$Windows_X86_64 LibreOffice_project/3c58a8f3a960df8bc8fd77b461821e42c061c5f0</Application>
  <AppVersion>15.0000</AppVersion>
  <Pages>17</Pages>
  <Words>4119</Words>
  <Characters>25583</Characters>
  <CharactersWithSpaces>29598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2025-11-13T14:34:34Z</dcterms:modified>
  <cp:revision>299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