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OPĆINA NEGOSLAVCI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OPĆINSKO VIJEĆE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KLASA: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400-01/24-01/06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URBROJ: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2196-19-02-25-02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Negoslavci,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23. prosinca 2025.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OBRAZLOŽENJE  II. IZMJENA I DOPUNA PRORAČUNA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OPĆINE NEGOSLAVCI ZA 2025. GODINU</w:t>
      </w:r>
    </w:p>
    <w:p>
      <w:pPr>
        <w:pStyle w:val="Stilnaslova1"/>
        <w:numPr>
          <w:ilvl w:val="0"/>
          <w:numId w:val="1"/>
        </w:numPr>
        <w:spacing w:lineRule="auto" w:line="240"/>
        <w:ind w:left="426" w:hanging="426"/>
        <w:rPr>
          <w:rFonts w:ascii="Times New Roman" w:hAnsi="Times New Roman"/>
          <w:sz w:val="24"/>
          <w:szCs w:val="24"/>
        </w:rPr>
      </w:pPr>
      <w:bookmarkStart w:id="0" w:name="_Toc193725193"/>
      <w:bookmarkStart w:id="1" w:name="_Toc88481282"/>
      <w:bookmarkStart w:id="2" w:name="_Toc88480339"/>
      <w:r>
        <w:rPr>
          <w:rFonts w:ascii="Times New Roman" w:hAnsi="Times New Roman"/>
          <w:sz w:val="24"/>
          <w:szCs w:val="24"/>
        </w:rPr>
        <w:t>UVOD</w:t>
      </w:r>
      <w:bookmarkEnd w:id="0"/>
      <w:bookmarkEnd w:id="1"/>
      <w:bookmarkEnd w:id="2"/>
    </w:p>
    <w:p>
      <w:pPr>
        <w:pStyle w:val="Obinitekst1"/>
        <w:spacing w:lineRule="auto" w:lin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Obinitekst1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Sukladno članku 45. Zakona o proračunu (NN 144/21) Općina Negoslavci izradila je Druge izmjene i dopune Proračuna za 2025. godinu. Metodologija izrade Drugih izmjena i dopuna Proračuna je istovjetna donošenju Proračuna.</w:t>
      </w:r>
    </w:p>
    <w:p>
      <w:pPr>
        <w:pStyle w:val="Obinitekst1"/>
        <w:spacing w:lineRule="auto" w:lin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Izmjenama i dopunama Proračun za 2025. </w:t>
      </w:r>
      <w:r>
        <w:rPr>
          <w:rFonts w:ascii="Times New Roman" w:hAnsi="Times New Roman"/>
          <w:bCs/>
          <w:sz w:val="24"/>
          <w:szCs w:val="24"/>
        </w:rPr>
        <w:t>planiraju se prihodi i primici u iznosu od 1.208.781,92</w:t>
      </w:r>
      <w:r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€, rashodi i izdaci u iznosu 1.580.610,73 € te višak prihoda u iznosu 371.828,81 €. </w:t>
      </w:r>
    </w:p>
    <w:tbl>
      <w:tblPr>
        <w:tblW w:w="110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273"/>
        <w:gridCol w:w="3741"/>
        <w:gridCol w:w="1700"/>
        <w:gridCol w:w="1702"/>
        <w:gridCol w:w="2995"/>
      </w:tblGrid>
      <w:tr>
        <w:trPr>
          <w:trHeight w:val="690" w:hRule="atLeast"/>
        </w:trPr>
        <w:tc>
          <w:tcPr>
            <w:tcW w:w="6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BR.</w:t>
            </w:r>
          </w:p>
        </w:tc>
        <w:tc>
          <w:tcPr>
            <w:tcW w:w="2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7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VRSTA PRIHODA /IZDATAKA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PLAN 2025.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POVEĆANJE/SMENJENJE</w:t>
            </w:r>
          </w:p>
        </w:tc>
        <w:tc>
          <w:tcPr>
            <w:tcW w:w="2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NOVI PLAN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0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UKUPNO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2.276.089,00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-1.067.307,08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1.208.781,92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POSLOVANJA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2.276.089,00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-1.067.307,08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1.208.781,92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UKUPNO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2.647.917,81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-1.067.307,08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1.580.610,73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 POSLOVANJA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1.028.089,00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-26.599,08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1.001.489,92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1.619.828,81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-1.040.708,00 </w:t>
            </w:r>
          </w:p>
        </w:tc>
        <w:tc>
          <w:tcPr>
            <w:tcW w:w="299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579.120,81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7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741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VIŠAK/MANJAK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371.828,81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299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371.828,81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tbl>
      <w:tblPr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7"/>
        <w:gridCol w:w="188"/>
        <w:gridCol w:w="189"/>
        <w:gridCol w:w="188"/>
        <w:gridCol w:w="190"/>
      </w:tblGrid>
      <w:tr>
        <w:trPr>
          <w:trHeight w:val="225" w:hRule="atLeast"/>
        </w:trPr>
        <w:tc>
          <w:tcPr>
            <w:tcW w:w="9877" w:type="dxa"/>
            <w:tcBorders/>
            <w:vAlign w:val="center"/>
          </w:tcPr>
          <w:p>
            <w:pPr>
              <w:pStyle w:val="Stilnaslova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3" w:name="_Toc193725194"/>
            <w:bookmarkStart w:id="4" w:name="_Toc88481283"/>
            <w:bookmarkStart w:id="5" w:name="_Toc88480340"/>
            <w:bookmarkStart w:id="6" w:name="_Toc87887594"/>
            <w:bookmarkStart w:id="7" w:name="_Toc87885884"/>
            <w:r>
              <w:rPr>
                <w:rFonts w:ascii="Times New Roman" w:hAnsi="Times New Roman"/>
                <w:sz w:val="24"/>
                <w:szCs w:val="24"/>
              </w:rPr>
              <w:t xml:space="preserve">OBRAZLOŽENJE 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4"/>
                <w:szCs w:val="24"/>
              </w:rPr>
              <w:t>OPĆEG DIJLARORAČUNA</w:t>
            </w:r>
            <w:bookmarkEnd w:id="3"/>
          </w:p>
          <w:p>
            <w:pPr>
              <w:pStyle w:val="Stilnaslova2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bookmarkStart w:id="8" w:name="_Toc193725195"/>
            <w:bookmarkStart w:id="9" w:name="_Toc88481284"/>
            <w:bookmarkStart w:id="10" w:name="_Toc88480341"/>
            <w:bookmarkStart w:id="11" w:name="_Toc87887595"/>
            <w:bookmarkStart w:id="12" w:name="_Toc87885885"/>
            <w:bookmarkStart w:id="13" w:name="_Toc57199840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B.1.</w:t>
              <w:tab/>
              <w:t>OBRAZLOŽENJE PRIHODA I RASHODA, PRIMITAKA I IZDATAKA</w:t>
            </w:r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/>
              <w:rPr>
                <w:b/>
                <w:b/>
                <w:bCs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Ovim izmjenama ukupni prihodi i primici konsolidiranog Proračuna za 2025. planirani su u visini 1.580.610,73 €.</w:t>
            </w:r>
          </w:p>
          <w:p>
            <w:pPr>
              <w:pStyle w:val="Tijelotekstauvlaka2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Ovim izmjenama mijenja se iznos Prihoda i primitaka kako je prikazano u sljedećoj tablici. </w:t>
            </w:r>
          </w:p>
          <w:tbl>
            <w:tblPr>
              <w:tblW w:w="11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0"/>
              <w:gridCol w:w="3027"/>
              <w:gridCol w:w="1418"/>
              <w:gridCol w:w="1559"/>
              <w:gridCol w:w="1418"/>
              <w:gridCol w:w="3377"/>
            </w:tblGrid>
            <w:tr>
              <w:trPr>
                <w:trHeight w:val="645" w:hRule="atLeast"/>
              </w:trPr>
              <w:tc>
                <w:tcPr>
                  <w:tcW w:w="36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Brojčana oznaka i naziv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Plan 2025.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POVEĆANJE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DCDCDC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SMANJENJE</w:t>
                  </w:r>
                </w:p>
              </w:tc>
              <w:tc>
                <w:tcPr>
                  <w:tcW w:w="3377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color="000000" w:fill="D9D9D9" w:val="clear"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NOVI PLAN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3607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 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UKUPNO PRIHODI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2.276.089,00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294.679,92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1.361.987,00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1.208.781,92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2.276.089,00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294.679,92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1.361.987,00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1.208.781,92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61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poreza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218.000,00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217.000,00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1.730.000,00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292.379,92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1.259.070,00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763.309,92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64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imovine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4.190,00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1.300,00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1.800,00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3.690,00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23.899,00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117,00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24.782,00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66</w:t>
                  </w:r>
                </w:p>
              </w:tc>
              <w:tc>
                <w:tcPr>
                  <w:tcW w:w="30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337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"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200.000,00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98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Stilnaslova3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ilnaslova3"/>
        <w:spacing w:lineRule="auto" w:line="240" w:before="0" w:after="0"/>
        <w:rPr>
          <w:rFonts w:ascii="Times New Roman" w:hAnsi="Times New Roman"/>
          <w:sz w:val="24"/>
          <w:szCs w:val="24"/>
        </w:rPr>
      </w:pPr>
      <w:bookmarkStart w:id="14" w:name="_Toc193725197"/>
      <w:r>
        <w:rPr>
          <w:rFonts w:ascii="Times New Roman" w:hAnsi="Times New Roman"/>
          <w:sz w:val="24"/>
          <w:szCs w:val="24"/>
        </w:rPr>
        <w:t xml:space="preserve">B.1.1.1. </w:t>
        <w:tab/>
        <w:t>PRIHODI POSLOVANJA</w:t>
      </w:r>
      <w:bookmarkEnd w:id="14"/>
      <w:r>
        <w:rPr>
          <w:rFonts w:ascii="Times New Roman" w:hAnsi="Times New Roman"/>
          <w:sz w:val="24"/>
          <w:szCs w:val="24"/>
        </w:rPr>
        <w:tab/>
        <w:tab/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Skupina 63 –</w:t>
      </w:r>
      <w:r>
        <w:rPr>
          <w:rFonts w:ascii="Times New Roman" w:hAnsi="Times New Roman"/>
          <w:sz w:val="24"/>
          <w:szCs w:val="24"/>
        </w:rPr>
        <w:t xml:space="preserve"> Prihodi od pomoći planirani su u iznosu 763.309,92 €, a ovim Izmjenama i dopunama Proračuna smanjuju se za 966.690,08 €. Ovo smanjenje odnosi se na smanjenje prihoda od pomoći za projekt izgradnje dječjeg vrtića u općini Negoslavci u iznosu 800.000,00 €,  za projekt prekogranične suradnje u iznosu 100.000,00 € te za izmjene prostornog plana 30.000,00 €.</w:t>
      </w:r>
    </w:p>
    <w:p>
      <w:pPr>
        <w:pStyle w:val="Stilnaslova3"/>
        <w:spacing w:lineRule="auto" w:line="240" w:before="0" w:after="0"/>
        <w:rPr>
          <w:rFonts w:ascii="Times New Roman" w:hAnsi="Times New Roman"/>
          <w:sz w:val="24"/>
          <w:szCs w:val="24"/>
        </w:rPr>
      </w:pPr>
      <w:bookmarkStart w:id="15" w:name="_Toc193725198"/>
      <w:r>
        <w:rPr>
          <w:rFonts w:ascii="Times New Roman" w:hAnsi="Times New Roman"/>
          <w:sz w:val="24"/>
          <w:szCs w:val="24"/>
        </w:rPr>
        <w:t>B.1.2. RASHODI I IZDACI</w:t>
      </w:r>
      <w:bookmarkEnd w:id="15"/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izmjenama ukupni rashodi i izdaci konsolidiranog Proračuna za 2025. koji su planirani u visini 2.647.917,81 € smanjuju se za 1.067.307,08 € i sada iznose 1.580.610,73 €.</w:t>
      </w:r>
    </w:p>
    <w:p>
      <w:pPr>
        <w:pStyle w:val="Tijelotekstauvlaka21"/>
        <w:spacing w:lineRule="auto" w:line="240" w:before="0" w:after="0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izmjenama mijenja se iznos Rashoda i izdataka kako je prikazano u sljedećoj tablici. </w:t>
      </w:r>
    </w:p>
    <w:tbl>
      <w:tblPr>
        <w:tblW w:w="113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"/>
        <w:gridCol w:w="3340"/>
        <w:gridCol w:w="1172"/>
        <w:gridCol w:w="1418"/>
        <w:gridCol w:w="1559"/>
        <w:gridCol w:w="3310"/>
      </w:tblGrid>
      <w:tr>
        <w:trPr>
          <w:trHeight w:val="645" w:hRule="atLeast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Plan 2025.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Povećanje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CDCDC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Smanjenje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NOVI PLAN</w:t>
            </w:r>
          </w:p>
        </w:tc>
      </w:tr>
      <w:tr>
        <w:trPr>
          <w:trHeight w:val="195" w:hRule="atLeast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2.647.917,81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204.679,92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1.271.987,00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1.580.610,73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poslovanja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1.028.089,00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200.679,92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227.279,00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1.001.489,92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zaposlene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376.800,00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104.730,00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481.530,00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Materijalni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373.314,00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54.370,00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158.814,00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268.870,00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34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Financijski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4.930,00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7.430,00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36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37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78.150,00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10.400,00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28.200,00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60.350,00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38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Ostali rashodi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184.895,00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27.679,92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29.265,00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183.309,92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1.619.828,81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1.044.708,00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579.120,81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42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981.000,00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825.500,00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159.500,00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45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638.828,81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219.208,00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419.620,81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172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</w:tbl>
    <w:p>
      <w:pPr>
        <w:pStyle w:val="Stilnaslova4"/>
        <w:spacing w:lineRule="auto" w:line="240"/>
        <w:rPr>
          <w:rFonts w:ascii="Times New Roman" w:hAnsi="Times New Roman"/>
          <w:sz w:val="24"/>
          <w:szCs w:val="24"/>
        </w:rPr>
      </w:pPr>
      <w:bookmarkStart w:id="16" w:name="_Toc193725199"/>
      <w:bookmarkStart w:id="17" w:name="_Toc88481288"/>
      <w:r>
        <w:rPr>
          <w:rFonts w:ascii="Times New Roman" w:hAnsi="Times New Roman"/>
          <w:sz w:val="24"/>
          <w:szCs w:val="24"/>
        </w:rPr>
        <w:t>B.1.2.1.RASHODI POSLOVANJA</w:t>
      </w:r>
      <w:bookmarkEnd w:id="16"/>
      <w:bookmarkEnd w:id="17"/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Skupina 31 </w:t>
      </w:r>
      <w:r>
        <w:rPr>
          <w:rFonts w:ascii="Times New Roman" w:hAnsi="Times New Roman"/>
          <w:bCs/>
          <w:sz w:val="24"/>
          <w:szCs w:val="24"/>
        </w:rPr>
        <w:t>– Rashodi za zaposlene povećavaju se za 104.730,00 € iz razloga što po uputama iz Ministarstva financija plaća za mjesec prosinac mora da se knjiži u godini za koju se odnosi odnosno u 2025. godinu. Ovdje se nalazi plaća 5 zaposlenih u općini te plaća za 21 djelatnik zaposlenih na projektu Zaželi.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Skupina 32</w:t>
      </w:r>
      <w:r>
        <w:rPr>
          <w:rFonts w:ascii="Times New Roman" w:hAnsi="Times New Roman"/>
          <w:sz w:val="24"/>
          <w:szCs w:val="24"/>
        </w:rPr>
        <w:t xml:space="preserve"> - Materijalni rashodi se smanjuju za 104.444,00 € i ovo smanjenje se odnosi na smanjenje tehničke naravi kako bi se pojedine pozicije u proračunu uravnotežile. </w:t>
      </w:r>
    </w:p>
    <w:p>
      <w:pPr>
        <w:pStyle w:val="Stilnaslova3"/>
        <w:spacing w:lineRule="auto" w:line="240"/>
        <w:rPr>
          <w:rFonts w:ascii="Times New Roman" w:hAnsi="Times New Roman"/>
          <w:sz w:val="24"/>
          <w:szCs w:val="24"/>
        </w:rPr>
      </w:pPr>
      <w:bookmarkStart w:id="18" w:name="_Toc193725200"/>
      <w:bookmarkStart w:id="19" w:name="_Toc88481289"/>
      <w:r>
        <w:rPr>
          <w:rFonts w:ascii="Times New Roman" w:hAnsi="Times New Roman"/>
          <w:sz w:val="24"/>
          <w:szCs w:val="24"/>
        </w:rPr>
        <w:t>B.1.2.2. RASHODI ZA NABAVU NEFINANCIJSKE IMOVINE</w:t>
      </w:r>
      <w:bookmarkEnd w:id="18"/>
      <w:bookmarkEnd w:id="19"/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Skupina 42</w:t>
      </w:r>
      <w:r>
        <w:rPr>
          <w:rFonts w:ascii="Times New Roman" w:hAnsi="Times New Roman"/>
          <w:sz w:val="24"/>
          <w:szCs w:val="24"/>
        </w:rPr>
        <w:t xml:space="preserve"> – Rashodi za nabavu proizvedene dugotrajne imovine smanjuju  se za 825.500,00 €. U okviru ove skupine ukidaju se rashodi za projekt izgradnja dječjeg vrtića u općini Negoslavci u iznosu 800.000,00 €.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Skupina 45 – </w:t>
      </w:r>
      <w:r>
        <w:rPr>
          <w:rFonts w:ascii="Times New Roman" w:hAnsi="Times New Roman"/>
          <w:bCs/>
          <w:sz w:val="24"/>
          <w:szCs w:val="24"/>
        </w:rPr>
        <w:t>Rashodi za dodatna ulaganja na nefinancijskoj imovini smanjuj se za 219.208,00 € a odnosi se na smanjenje sredstava za izradu izmjena i dopuna prostornog plana Općine u iznosu 30.000,00 € te smanjenje sredstava za renoviranje Etno kuće za 189.208,00 €.</w:t>
      </w:r>
    </w:p>
    <w:p>
      <w:pPr>
        <w:pStyle w:val="Stilnaslova2"/>
        <w:spacing w:lineRule="auto" w:line="240"/>
        <w:jc w:val="both"/>
        <w:rPr>
          <w:rFonts w:ascii="Times New Roman" w:hAnsi="Times New Roman"/>
          <w:sz w:val="24"/>
          <w:szCs w:val="24"/>
        </w:rPr>
      </w:pPr>
      <w:bookmarkStart w:id="20" w:name="_Toc193725201"/>
      <w:r>
        <w:rPr>
          <w:rFonts w:ascii="Times New Roman" w:hAnsi="Times New Roman"/>
          <w:b/>
          <w:bCs/>
          <w:color w:val="auto"/>
          <w:sz w:val="24"/>
          <w:szCs w:val="24"/>
        </w:rPr>
        <w:t>B.2. OBRAZLOŽENJE PRENESENOG MANJKA ODNOSNO VIŠKA</w:t>
      </w:r>
      <w:bookmarkEnd w:id="20"/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Izmjenama i dopunama Proračuna Općine Negoslavci planira prijenos viška prihoda iz 2024. godine u iznosu 371.828,81 € koji se sastoji od neutrošenih sredstava od donacije ZVO-a.</w:t>
      </w:r>
    </w:p>
    <w:p>
      <w:pPr>
        <w:pStyle w:val="Stilnaslova1"/>
        <w:numPr>
          <w:ilvl w:val="0"/>
          <w:numId w:val="1"/>
        </w:numPr>
        <w:spacing w:lineRule="auto" w:line="240"/>
        <w:ind w:left="426" w:hanging="426"/>
        <w:rPr>
          <w:rFonts w:ascii="Times New Roman" w:hAnsi="Times New Roman"/>
          <w:sz w:val="24"/>
          <w:szCs w:val="24"/>
        </w:rPr>
      </w:pPr>
      <w:bookmarkStart w:id="21" w:name="_Toc193725202"/>
      <w:bookmarkStart w:id="22" w:name="_Toc88481291"/>
      <w:bookmarkStart w:id="23" w:name="_Toc88480343"/>
      <w:bookmarkStart w:id="24" w:name="_Toc87887597"/>
      <w:bookmarkStart w:id="25" w:name="_Toc87885887"/>
      <w:r>
        <w:rPr>
          <w:rFonts w:ascii="Times New Roman" w:hAnsi="Times New Roman"/>
          <w:sz w:val="24"/>
          <w:szCs w:val="24"/>
        </w:rPr>
        <w:t xml:space="preserve">OBRAZLOŽENJE POSEBNOG DIJELA PRORAČUNA </w:t>
      </w:r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PO ORGANIZACIJI I PROGRAMIMA</w:t>
      </w:r>
      <w:bookmarkEnd w:id="21"/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/>
        <w:ind w:left="4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nastavku se daje obrazloženje proračuna po organizacijskoj i  programskoj klasifikaciji, te po izvorima financiranja.</w:t>
      </w:r>
    </w:p>
    <w:p>
      <w:pPr>
        <w:pStyle w:val="Stilnaslova2"/>
        <w:spacing w:lineRule="auto" w:line="240"/>
        <w:rPr>
          <w:rFonts w:ascii="Times New Roman" w:hAnsi="Times New Roman"/>
          <w:sz w:val="24"/>
          <w:szCs w:val="24"/>
        </w:rPr>
      </w:pPr>
      <w:bookmarkStart w:id="26" w:name="_Toc193725203"/>
      <w:bookmarkStart w:id="27" w:name="_Toc88481292"/>
      <w:bookmarkStart w:id="28" w:name="_Toc88480344"/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C.1. </w:t>
      </w:r>
      <w:bookmarkEnd w:id="26"/>
      <w:bookmarkEnd w:id="27"/>
      <w:bookmarkEnd w:id="28"/>
      <w:r>
        <w:rPr>
          <w:rFonts w:ascii="Times New Roman" w:hAnsi="Times New Roman"/>
          <w:b/>
          <w:bCs/>
          <w:color w:val="auto"/>
          <w:sz w:val="24"/>
          <w:szCs w:val="24"/>
        </w:rPr>
        <w:t>Glava 001 03 JEDINSTVENI UPRAVNI ODJEL</w:t>
      </w:r>
    </w:p>
    <w:p>
      <w:pPr>
        <w:pStyle w:val="Normal"/>
        <w:spacing w:lineRule="auto" w:line="240"/>
        <w:rPr>
          <w:b/>
          <w:b/>
          <w:bCs/>
          <w:color w:val="auto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rashodi u Jedinstvenom upravnom odjelu dani su u tablici koja slijedi.</w:t>
      </w:r>
    </w:p>
    <w:tbl>
      <w:tblPr>
        <w:tblW w:w="94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7"/>
        <w:gridCol w:w="4600"/>
        <w:gridCol w:w="1659"/>
        <w:gridCol w:w="1600"/>
      </w:tblGrid>
      <w:tr>
        <w:trPr>
          <w:trHeight w:val="255" w:hRule="atLeast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RAZDJEL </w:t>
            </w:r>
          </w:p>
        </w:tc>
        <w:tc>
          <w:tcPr>
            <w:tcW w:w="4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001  OPĆINSKO VIJEĆE I OPĆINSKI NAČELNIK I TIJELA SAMOUPRAVE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Arial"/>
                <w:b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Arial"/>
                <w:b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r>
          </w:p>
        </w:tc>
      </w:tr>
      <w:tr>
        <w:trPr>
          <w:trHeight w:val="255" w:hRule="atLeast"/>
        </w:trPr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t>Glava 001 02</w:t>
            </w:r>
          </w:p>
        </w:tc>
        <w:tc>
          <w:tcPr>
            <w:tcW w:w="4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6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2.619.617,81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1.552.410,73</w:t>
            </w:r>
          </w:p>
        </w:tc>
      </w:tr>
    </w:tbl>
    <w:p>
      <w:pPr>
        <w:pStyle w:val="Stilnaslova3"/>
        <w:spacing w:lineRule="auto" w:line="240"/>
        <w:rPr>
          <w:rFonts w:ascii="Times New Roman" w:hAnsi="Times New Roman"/>
          <w:sz w:val="24"/>
          <w:szCs w:val="24"/>
        </w:rPr>
      </w:pPr>
      <w:bookmarkStart w:id="29" w:name="_Toc193725204"/>
      <w:bookmarkStart w:id="30" w:name="_Toc88481293"/>
      <w:r>
        <w:rPr>
          <w:rFonts w:ascii="Times New Roman" w:hAnsi="Times New Roman"/>
          <w:sz w:val="24"/>
          <w:szCs w:val="24"/>
        </w:rPr>
        <w:t>C.1.1.</w:t>
        <w:tab/>
        <w:t>Glava: Jedinstveni upravni odjel</w:t>
      </w:r>
      <w:bookmarkEnd w:id="29"/>
      <w:bookmarkEnd w:id="30"/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Djelokrug: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Jedins</w:t>
      </w:r>
      <w:r>
        <w:rPr>
          <w:rFonts w:ascii="Times New Roman" w:hAnsi="Times New Roman"/>
          <w:sz w:val="24"/>
          <w:szCs w:val="24"/>
        </w:rPr>
        <w:t>tveni upravni odjel obavlja sve stručne i administrativne poslove za potrebe Općinskog vijeća, Načelnika, te obavlja sve ostale poslove utvrđene zakonom.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u svom samoupravnom djelokrugu obavlja poslove lokalnog značenja kojima se neposredno ostvaruju potrebe građana, a koji nisu Ustavom ili zakonom dodijeljeni državnim tijelima i to osobito poslove koji se odnose na: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Uređenje naselja i stanovanja,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Prostorno i urbanističko planiranje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Komunalne djelatnosti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Briga o djeci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Socijalnu skrb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Primarnu zdravstvenu zaštitu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Odgoj i osnovno obrazovanje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Kulturu, tjelesnu kulturu i sport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Zaštitu potrošača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Zaštitu i unapređenje prirodnog okoliša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Protupožarnu zaštitu i civilnu zaštitu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Promet na području Općine</w:t>
      </w:r>
    </w:p>
    <w:p>
      <w:pPr>
        <w:pStyle w:val="ListParagraph"/>
        <w:numPr>
          <w:ilvl w:val="0"/>
          <w:numId w:val="7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Ostale poslove prema zakonu.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Jedinstvenom upravnom odjelu ukupni rashodi planirani su u iznosu 2.619.617,81 €. Ovim Izmjenama i dopunama Proračuna rashodi su smanjeni za 1.067,207,08 € i sada iznose 1.552.410,73 €.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nastavku dajemo prikaz i obrazloženje programa i aktivnosti unutar ovog razdjela koji se mijenjaju:</w:t>
      </w:r>
    </w:p>
    <w:p>
      <w:pPr>
        <w:pStyle w:val="Stilnaslova4"/>
        <w:numPr>
          <w:ilvl w:val="0"/>
          <w:numId w:val="3"/>
        </w:numPr>
        <w:spacing w:lineRule="auto" w:line="240"/>
        <w:ind w:left="426" w:hanging="426"/>
        <w:rPr>
          <w:rFonts w:ascii="Times New Roman" w:hAnsi="Times New Roman"/>
          <w:sz w:val="24"/>
          <w:szCs w:val="24"/>
        </w:rPr>
      </w:pPr>
      <w:bookmarkStart w:id="31" w:name="_Toc193725205"/>
      <w:bookmarkStart w:id="32" w:name="_Toc181712658"/>
      <w:r>
        <w:rPr>
          <w:rFonts w:ascii="Times New Roman" w:hAnsi="Times New Roman"/>
          <w:sz w:val="24"/>
          <w:szCs w:val="24"/>
        </w:rPr>
        <w:t>PROGRAM:  JAVNE POTREBU OBRAZOVANJU</w:t>
      </w:r>
      <w:bookmarkEnd w:id="31"/>
      <w:bookmarkEnd w:id="32"/>
    </w:p>
    <w:p>
      <w:pPr>
        <w:pStyle w:val="Normal"/>
        <w:spacing w:lineRule="auto" w:line="240"/>
        <w:ind w:left="426" w:hanging="426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ZAKONSKA OSNOVA</w:t>
      </w:r>
      <w:r>
        <w:rPr>
          <w:rFonts w:ascii="Times New Roman" w:hAnsi="Times New Roman"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 o lokalnoj i područnoj (regionalnoj) samoupravi </w:t>
      </w:r>
      <w:r>
        <w:rPr>
          <w:rFonts w:cs="TimesNewRomanPSMT" w:ascii="Times New Roman" w:hAnsi="Times New Roman"/>
          <w:sz w:val="24"/>
          <w:szCs w:val="24"/>
        </w:rPr>
        <w:t>(„Narodne novine“ br. 33/01, 60/01, 129/05, 109/07, 125/08, 36/09, 36/09, 150/11, 144/12, 19/13, 137/15, 123/17, 98/19, 144/20),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PROGRAMA</w:t>
      </w:r>
      <w:r>
        <w:rPr>
          <w:rFonts w:ascii="Times New Roman" w:hAnsi="Times New Roman"/>
          <w:sz w:val="24"/>
          <w:szCs w:val="24"/>
        </w:rPr>
        <w:t xml:space="preserve">: Ovim programom osiguravaju se sredstva za aktivnosti i projekte iz područja predškolskog odgoja i obrazovanja iznad pedagoškog standarda.  Kroz ovaj program osiguravaju se sredstva za radionice u dječjim vrtićima, sredstva za plaću odgajateljice u vrtiću, sredstva za stipendije, za sufinanciranje prijevoza učenika srednjih škola,  radne bilježnice za učenike, preobuče za učenike i djecu u vrtiću, tekuće donacije školstvu i sl. Pregled aktivnosti planiranih u ovom programu dajemo u nastavku: 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40" w:before="0"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Predškolski odgoj i obrazovanje iznad pedagoških standarda je aktivnost u kojoj su planirani rashodi za radionice u dječjim vrtićima, sredstva za stipendije, za sufinanciranje prijevoza učenika srednjih škola, tekuće donacije školstvu i sl.</w:t>
      </w:r>
    </w:p>
    <w:p>
      <w:pPr>
        <w:pStyle w:val="Normal"/>
        <w:spacing w:lineRule="auto" w:line="240"/>
        <w:ind w:hanging="0"/>
        <w:jc w:val="both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CILJ PROGRAMA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Obavljanja poslova iz samoupravnog djelokruga i njihovo unaprjeđenje sa svrhom poboljšanja kvalitete usluge stanovnicima Općine.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POKAZATELJ USPJEŠNOSTI</w:t>
      </w:r>
    </w:p>
    <w:tbl>
      <w:tblPr>
        <w:tblW w:w="104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3"/>
        <w:gridCol w:w="1559"/>
        <w:gridCol w:w="1275"/>
        <w:gridCol w:w="1134"/>
        <w:gridCol w:w="993"/>
        <w:gridCol w:w="993"/>
        <w:gridCol w:w="989"/>
        <w:gridCol w:w="6"/>
      </w:tblGrid>
      <w:tr>
        <w:trPr>
          <w:trHeight w:val="448" w:hRule="atLeast"/>
        </w:trPr>
        <w:tc>
          <w:tcPr>
            <w:tcW w:w="3543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Aktivnost/ projekt</w:t>
            </w:r>
          </w:p>
        </w:tc>
        <w:tc>
          <w:tcPr>
            <w:tcW w:w="1559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Pokazatelj rezultata </w:t>
            </w:r>
          </w:p>
        </w:tc>
        <w:tc>
          <w:tcPr>
            <w:tcW w:w="1275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Početna vrijednost </w:t>
            </w:r>
          </w:p>
        </w:tc>
        <w:tc>
          <w:tcPr>
            <w:tcW w:w="4109" w:type="dxa"/>
            <w:gridSpan w:val="4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CILJANA VRIJEDNOST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3543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5" w:type="dxa"/>
            <w:gridSpan w:val="2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</w:tr>
      <w:tr>
        <w:trPr>
          <w:trHeight w:val="188" w:hRule="atLeast"/>
        </w:trPr>
        <w:tc>
          <w:tcPr>
            <w:tcW w:w="354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A100100 Priprema i donošenje akata</w:t>
              <w:br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pisanih pritužbi građana na rad djelatnika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ilnaslova4"/>
        <w:numPr>
          <w:ilvl w:val="0"/>
          <w:numId w:val="3"/>
        </w:numPr>
        <w:spacing w:lineRule="auto" w:line="24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  Održavanje objekata i uređenje infrastrukture</w:t>
      </w:r>
    </w:p>
    <w:p>
      <w:pPr>
        <w:pStyle w:val="Normal"/>
        <w:spacing w:lineRule="auto" w:line="240"/>
        <w:ind w:left="426" w:hanging="0"/>
        <w:jc w:val="both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ZAKONSKA OSNOVA</w:t>
      </w:r>
      <w:r>
        <w:rPr>
          <w:rFonts w:ascii="Times New Roman" w:hAnsi="Times New Roman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 o komunalnom gospodarstvu </w:t>
      </w:r>
      <w:r>
        <w:rPr>
          <w:rFonts w:cs="TimesNewRomanPSMT" w:ascii="Times New Roman" w:hAnsi="Times New Roman"/>
          <w:sz w:val="24"/>
          <w:szCs w:val="24"/>
        </w:rPr>
        <w:t>(„Narodne novine“ br.</w:t>
      </w:r>
      <w:r>
        <w:rPr>
          <w:rFonts w:ascii="Times New Roman" w:hAnsi="Times New Roman"/>
          <w:sz w:val="24"/>
          <w:szCs w:val="24"/>
        </w:rPr>
        <w:t xml:space="preserve"> 68/18, 110/18, 32/20),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zaštiti od svjetlosnog onečišćenja (NN 14/19),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cestama (</w:t>
      </w:r>
      <w:r>
        <w:rPr>
          <w:rFonts w:cs="TimesNewRomanPSMT" w:ascii="Times New Roman" w:hAnsi="Times New Roman"/>
          <w:sz w:val="24"/>
          <w:szCs w:val="24"/>
        </w:rPr>
        <w:t>„Narodne novine“ br. 84/11, 22/13, 54/13, 148/13, 92/14, 110/19, 144/21, 114/22, 114/22, 04/23, 133/23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color w:val="00B0F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akon o sigurnosti prometa na cestama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NewRomanPSMT" w:ascii="Times New Roman" w:hAnsi="Times New Roman"/>
          <w:sz w:val="24"/>
          <w:szCs w:val="24"/>
        </w:rPr>
        <w:t>(„Narodne novine“ br. 67/08, 48/10, 74/11, 80/13, 158/13, 92/14, 64/15, 108/17, 70/19, 42/20, 85/22, 114/22, 133/23</w:t>
      </w:r>
      <w:r>
        <w:rPr>
          <w:rFonts w:ascii="Times New Roman" w:hAnsi="Times New Roman"/>
          <w:sz w:val="24"/>
          <w:szCs w:val="24"/>
          <w:shd w:fill="FFFFFF" w:val="clear"/>
        </w:rPr>
        <w:t> 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left="720" w:hanging="0"/>
        <w:jc w:val="both"/>
        <w:rPr>
          <w:rFonts w:ascii="Times New Roman" w:hAnsi="Times New Roman"/>
          <w:iCs/>
          <w:color w:val="00B0F0"/>
          <w:sz w:val="24"/>
          <w:szCs w:val="24"/>
        </w:rPr>
      </w:pPr>
      <w:r>
        <w:rPr>
          <w:rFonts w:ascii="Times New Roman" w:hAnsi="Times New Roman"/>
          <w:iCs/>
          <w:color w:val="00B0F0"/>
          <w:sz w:val="24"/>
          <w:szCs w:val="24"/>
        </w:rPr>
      </w:r>
    </w:p>
    <w:p>
      <w:pPr>
        <w:pStyle w:val="Normal"/>
        <w:spacing w:lineRule="auto" w:line="240"/>
        <w:ind w:left="4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PROGRAMA</w:t>
      </w:r>
      <w:r>
        <w:rPr>
          <w:rFonts w:ascii="Times New Roman" w:hAnsi="Times New Roman"/>
          <w:sz w:val="24"/>
          <w:szCs w:val="24"/>
        </w:rPr>
        <w:t xml:space="preserve">: Ovim programom osiguravaju se sredstva rekonstrukciju, izgradnju i opremanje komunalne infrastrukture. </w:t>
      </w:r>
    </w:p>
    <w:p>
      <w:pPr>
        <w:pStyle w:val="Normal"/>
        <w:spacing w:lineRule="auto" w:line="24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U okviru ovog programa planirane su aktivnosti: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Sanacije pješačkih staza PORLZ.</w:t>
        <w:tab/>
        <w:tab/>
        <w:tab/>
        <w:t>35.000,00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Sanacija pješačke staze – Petrovačka ulica.</w:t>
        <w:tab/>
        <w:tab/>
        <w:t>16.000,00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Rekonstrukcija Etno kuće – Dom kultture</w:t>
        <w:tab/>
        <w:t xml:space="preserve">          360.620,81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Uređenje malonogometnog igrališta</w:t>
        <w:tab/>
        <w:tab/>
        <w:tab/>
        <w:t xml:space="preserve">  8.000,00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PPNM – sanacija staza</w:t>
        <w:tab/>
        <w:tab/>
        <w:tab/>
        <w:tab/>
        <w:t>17.000,00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Rekonstrukcija igrališta – umjetna trava</w:t>
        <w:tab/>
        <w:t xml:space="preserve">          102.000,00</w:t>
      </w:r>
    </w:p>
    <w:p>
      <w:pPr>
        <w:pStyle w:val="Normal"/>
        <w:suppressAutoHyphens w:val="false"/>
        <w:spacing w:lineRule="auto" w:line="240" w:before="0" w:after="0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5"/>
        <w:gridCol w:w="856"/>
        <w:gridCol w:w="3725"/>
        <w:gridCol w:w="1150"/>
        <w:gridCol w:w="1127"/>
        <w:gridCol w:w="1106"/>
        <w:gridCol w:w="1152"/>
      </w:tblGrid>
      <w:tr>
        <w:trPr>
          <w:trHeight w:val="300" w:hRule="atLeast"/>
        </w:trPr>
        <w:tc>
          <w:tcPr>
            <w:tcW w:w="151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2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7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2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51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2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7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2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51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2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7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2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51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25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7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6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2" w:type="dxa"/>
            <w:tcBorders/>
            <w:shd w:color="E1E1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CILJ PROGRAMA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Poboljšanje dostupnosti i kvalitete stanovanja, uređenje i opremanje naselja s ciljem boljih životnih uvjeta za stanovnike.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POKAZATELJ USPJEŠNOSTI</w:t>
      </w:r>
    </w:p>
    <w:tbl>
      <w:tblPr>
        <w:tblW w:w="10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8"/>
        <w:gridCol w:w="3114"/>
        <w:gridCol w:w="1274"/>
        <w:gridCol w:w="709"/>
        <w:gridCol w:w="622"/>
        <w:gridCol w:w="622"/>
        <w:gridCol w:w="752"/>
      </w:tblGrid>
      <w:tr>
        <w:trPr>
          <w:trHeight w:val="576" w:hRule="atLeast"/>
        </w:trPr>
        <w:tc>
          <w:tcPr>
            <w:tcW w:w="3538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Aktivnost/ projekt</w:t>
            </w:r>
          </w:p>
        </w:tc>
        <w:tc>
          <w:tcPr>
            <w:tcW w:w="3114" w:type="dxa"/>
            <w:vMerge w:val="restart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Pokazatelj rezultata </w:t>
            </w:r>
          </w:p>
        </w:tc>
        <w:tc>
          <w:tcPr>
            <w:tcW w:w="1274" w:type="dxa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Početna vrijednost </w:t>
            </w:r>
          </w:p>
        </w:tc>
        <w:tc>
          <w:tcPr>
            <w:tcW w:w="2705" w:type="dxa"/>
            <w:gridSpan w:val="4"/>
            <w:tcBorders/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CILJANA VRIJEDNOST</w:t>
            </w:r>
          </w:p>
        </w:tc>
      </w:tr>
      <w:tr>
        <w:trPr>
          <w:trHeight w:val="390" w:hRule="atLeast"/>
        </w:trPr>
        <w:tc>
          <w:tcPr>
            <w:tcW w:w="3538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22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22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52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>
        <w:trPr>
          <w:trHeight w:val="273" w:hRule="atLeast"/>
        </w:trPr>
        <w:tc>
          <w:tcPr>
            <w:tcW w:w="3538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Kapitalni projekt Rekonstrukcija Etno kuće</w:t>
            </w:r>
          </w:p>
        </w:tc>
        <w:tc>
          <w:tcPr>
            <w:tcW w:w="311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Postotak izgradnje </w:t>
            </w:r>
          </w:p>
        </w:tc>
        <w:tc>
          <w:tcPr>
            <w:tcW w:w="127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538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ilnaslova4"/>
        <w:numPr>
          <w:ilvl w:val="0"/>
          <w:numId w:val="3"/>
        </w:numPr>
        <w:spacing w:lineRule="auto" w:line="24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  Izgradnja objekata i uređaja komunalne infrastrukture</w:t>
      </w:r>
    </w:p>
    <w:p>
      <w:pPr>
        <w:pStyle w:val="Normal"/>
        <w:spacing w:lineRule="auto" w:line="240"/>
        <w:ind w:left="426" w:hanging="426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ZAKONSKA OSNOVA</w:t>
      </w:r>
      <w:r>
        <w:rPr>
          <w:rFonts w:ascii="Times New Roman" w:hAnsi="Times New Roman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 o komunalnom gospodarstvu </w:t>
      </w:r>
      <w:r>
        <w:rPr>
          <w:rFonts w:cs="TimesNewRomanPSMT" w:ascii="Times New Roman" w:hAnsi="Times New Roman"/>
          <w:sz w:val="24"/>
          <w:szCs w:val="24"/>
        </w:rPr>
        <w:t>(„Narodne novine“ br.</w:t>
      </w:r>
      <w:r>
        <w:rPr>
          <w:rFonts w:ascii="Times New Roman" w:hAnsi="Times New Roman"/>
          <w:sz w:val="24"/>
          <w:szCs w:val="24"/>
        </w:rPr>
        <w:t xml:space="preserve"> 68/18, 110/18, 32/20),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zaštiti od svjetlosnog onečišćenja (NN 14/19),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cestama (</w:t>
      </w:r>
      <w:r>
        <w:rPr>
          <w:rFonts w:cs="TimesNewRomanPSMT" w:ascii="Times New Roman" w:hAnsi="Times New Roman"/>
          <w:sz w:val="24"/>
          <w:szCs w:val="24"/>
        </w:rPr>
        <w:t>„Narodne novine“ br. 84/11, 22/13, 54/13, 148/13, 92/14, 110/19, 144/21, 114/22, 114/22, 04/23, 133/23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color w:val="00B0F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akon o sigurnosti prometa na cestama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NewRomanPSMT" w:ascii="Times New Roman" w:hAnsi="Times New Roman"/>
          <w:sz w:val="24"/>
          <w:szCs w:val="24"/>
        </w:rPr>
        <w:t>(„Narodne novine“ br. 67/08, 48/10, 74/11, 80/13, 158/13, 92/14, 64/15, 108/17, 70/19, 42/20, 85/22, 114/22, 133/23</w:t>
      </w:r>
      <w:r>
        <w:rPr>
          <w:rFonts w:ascii="Times New Roman" w:hAnsi="Times New Roman"/>
          <w:sz w:val="24"/>
          <w:szCs w:val="24"/>
          <w:shd w:fill="FFFFFF" w:val="clear"/>
        </w:rPr>
        <w:t> 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Odluka o nerazvrstanim cestama </w:t>
      </w:r>
      <w:r>
        <w:rPr>
          <w:rFonts w:ascii="Times New Roman" w:hAnsi="Times New Roman"/>
          <w:sz w:val="24"/>
          <w:szCs w:val="24"/>
        </w:rPr>
        <w:t>(„Službeni vjesnik“ Vukovarsko-srijemske županije, br. 21/13)</w:t>
      </w:r>
      <w:r>
        <w:rPr>
          <w:rFonts w:ascii="Times New Roman" w:hAnsi="Times New Roman"/>
          <w:bCs/>
          <w:sz w:val="24"/>
          <w:szCs w:val="24"/>
        </w:rPr>
        <w:t xml:space="preserve"> i dr.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/>
        <w:ind w:left="720" w:hanging="0"/>
        <w:jc w:val="both"/>
        <w:outlineLvl w:val="0"/>
        <w:rPr>
          <w:rFonts w:ascii="Times New Roman" w:hAnsi="Times New Roman"/>
          <w:iCs/>
          <w:color w:val="00B0F0"/>
          <w:sz w:val="24"/>
          <w:szCs w:val="24"/>
        </w:rPr>
      </w:pPr>
      <w:r>
        <w:rPr>
          <w:rFonts w:ascii="Times New Roman" w:hAnsi="Times New Roman"/>
          <w:iCs/>
          <w:color w:val="00B0F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/>
        <w:ind w:left="720" w:hanging="0"/>
        <w:jc w:val="both"/>
        <w:outlineLvl w:val="0"/>
        <w:rPr>
          <w:rFonts w:ascii="Times New Roman" w:hAnsi="Times New Roman"/>
          <w:iCs/>
          <w:color w:val="00B0F0"/>
          <w:sz w:val="24"/>
          <w:szCs w:val="24"/>
        </w:rPr>
      </w:pPr>
      <w:r>
        <w:rPr>
          <w:rFonts w:ascii="Times New Roman" w:hAnsi="Times New Roman"/>
          <w:iCs/>
          <w:color w:val="00B0F0"/>
          <w:sz w:val="24"/>
          <w:szCs w:val="24"/>
        </w:rPr>
      </w:r>
    </w:p>
    <w:p>
      <w:pPr>
        <w:pStyle w:val="Normal"/>
        <w:spacing w:lineRule="auto" w:line="240"/>
        <w:ind w:left="4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PROGRAMA</w:t>
      </w:r>
      <w:r>
        <w:rPr>
          <w:rFonts w:ascii="Times New Roman" w:hAnsi="Times New Roman"/>
          <w:sz w:val="24"/>
          <w:szCs w:val="24"/>
        </w:rPr>
        <w:t xml:space="preserve">: Ovim programom osiguravaju se sredstva za izgradnju i opremanje komunalne infrastrukture. </w:t>
      </w:r>
    </w:p>
    <w:p>
      <w:pPr>
        <w:pStyle w:val="Normal"/>
        <w:spacing w:lineRule="auto" w:line="24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U okviru ovog programa planirane su aktivnosti: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Izgradnja Dječjeg vrtića u općini Negoslavci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Izgradnja rasvjete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Oprema</w:t>
      </w:r>
    </w:p>
    <w:p>
      <w:pPr>
        <w:pStyle w:val="ListParagraph"/>
        <w:spacing w:lineRule="auto" w:line="240"/>
        <w:ind w:left="786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Drugim izmjenama i dopunama proračuna općine Negoslavci ove pozicije se ukidaju te će izgradnja vrtića biti planirana u narednim godinama.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PREDSJEDNIK OPĆINSKOG VIJEĆA:</w:t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Miodrag Mišanović</w:t>
      </w:r>
    </w:p>
    <w:sectPr>
      <w:footerReference w:type="default" r:id="rId2"/>
      <w:type w:val="nextPage"/>
      <w:pgSz w:w="11906" w:h="16838"/>
      <w:pgMar w:left="1417" w:right="1417" w:gutter="0" w:header="0" w:top="1417" w:footer="1417" w:bottom="220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nsolas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7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3f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d67e86"/>
    <w:pPr>
      <w:keepNext w:val="true"/>
      <w:suppressAutoHyphens w:val="false"/>
      <w:spacing w:lineRule="auto" w:line="240"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eastAsia="hr-HR"/>
      <w14:ligatures w14:val="none"/>
    </w:rPr>
  </w:style>
  <w:style w:type="paragraph" w:styleId="Stilnaslova2">
    <w:name w:val="Heading 2"/>
    <w:basedOn w:val="Normal"/>
    <w:next w:val="Normal"/>
    <w:link w:val="Naslov2Char"/>
    <w:uiPriority w:val="9"/>
    <w:unhideWhenUsed/>
    <w:qFormat/>
    <w:rsid w:val="00bb166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Stilnaslova3">
    <w:name w:val="Heading 3"/>
    <w:basedOn w:val="Normal"/>
    <w:next w:val="Normal"/>
    <w:link w:val="Naslov3Char"/>
    <w:uiPriority w:val="9"/>
    <w:unhideWhenUsed/>
    <w:qFormat/>
    <w:rsid w:val="000d7ffc"/>
    <w:pPr>
      <w:keepNext w:val="true"/>
      <w:suppressAutoHyphens w:val="false"/>
      <w:spacing w:lineRule="auto" w:line="240" w:before="240" w:after="60"/>
      <w:outlineLvl w:val="2"/>
    </w:pPr>
    <w:rPr>
      <w:rFonts w:ascii="Calibri Light" w:hAnsi="Calibri Light" w:eastAsia="Times New Roman" w:cs="Times New Roman"/>
      <w:b/>
      <w:bCs/>
      <w:kern w:val="0"/>
      <w:sz w:val="26"/>
      <w:szCs w:val="26"/>
      <w:lang w:eastAsia="hr-HR"/>
      <w14:ligatures w14:val="none"/>
    </w:rPr>
  </w:style>
  <w:style w:type="paragraph" w:styleId="Stilnaslova4">
    <w:name w:val="Heading 4"/>
    <w:basedOn w:val="Normal"/>
    <w:next w:val="Normal"/>
    <w:link w:val="Naslov4Char"/>
    <w:uiPriority w:val="9"/>
    <w:unhideWhenUsed/>
    <w:qFormat/>
    <w:rsid w:val="001b1d93"/>
    <w:pPr>
      <w:keepNext w:val="true"/>
      <w:suppressAutoHyphens w:val="false"/>
      <w:spacing w:lineRule="auto" w:line="240" w:before="240" w:after="60"/>
      <w:outlineLvl w:val="3"/>
    </w:pPr>
    <w:rPr>
      <w:rFonts w:ascii="Calibri" w:hAnsi="Calibri" w:eastAsia="Times New Roman" w:cs="Times New Roman"/>
      <w:b/>
      <w:bCs/>
      <w:kern w:val="0"/>
      <w:sz w:val="28"/>
      <w:szCs w:val="28"/>
      <w:lang w:eastAsia="hr-H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d67e86"/>
    <w:rPr>
      <w:rFonts w:ascii="Calibri Light" w:hAnsi="Calibri Light" w:eastAsia="Times New Roman" w:cs="Times New Roman"/>
      <w:b/>
      <w:bCs/>
      <w:kern w:val="2"/>
      <w:sz w:val="32"/>
      <w:szCs w:val="32"/>
      <w:lang w:eastAsia="hr-HR"/>
      <w14:ligatures w14:val="none"/>
    </w:rPr>
  </w:style>
  <w:style w:type="character" w:styleId="Naslov3Char" w:customStyle="1">
    <w:name w:val="Naslov 3 Char"/>
    <w:basedOn w:val="DefaultParagraphFont"/>
    <w:uiPriority w:val="9"/>
    <w:qFormat/>
    <w:rsid w:val="000d7ffc"/>
    <w:rPr>
      <w:rFonts w:ascii="Calibri Light" w:hAnsi="Calibri Light" w:eastAsia="Times New Roman" w:cs="Times New Roman"/>
      <w:b/>
      <w:bCs/>
      <w:kern w:val="0"/>
      <w:sz w:val="26"/>
      <w:szCs w:val="26"/>
      <w:lang w:eastAsia="hr-HR"/>
      <w14:ligatures w14:val="none"/>
    </w:rPr>
  </w:style>
  <w:style w:type="character" w:styleId="Naslov2Char" w:customStyle="1">
    <w:name w:val="Naslov 2 Char"/>
    <w:basedOn w:val="DefaultParagraphFont"/>
    <w:uiPriority w:val="9"/>
    <w:qFormat/>
    <w:rsid w:val="00bb166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Naslov4Char" w:customStyle="1">
    <w:name w:val="Naslov 4 Char"/>
    <w:basedOn w:val="DefaultParagraphFont"/>
    <w:uiPriority w:val="9"/>
    <w:qFormat/>
    <w:rsid w:val="001b1d93"/>
    <w:rPr>
      <w:rFonts w:ascii="Calibri" w:hAnsi="Calibri" w:eastAsia="Times New Roman" w:cs="Times New Roman"/>
      <w:b/>
      <w:bCs/>
      <w:kern w:val="0"/>
      <w:sz w:val="28"/>
      <w:szCs w:val="28"/>
      <w:lang w:eastAsia="hr-HR"/>
      <w14:ligatures w14:val="non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qFormat/>
    <w:rsid w:val="00be5d16"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2"/>
      <w:szCs w:val="22"/>
      <w:lang w:val="hr-HR" w:eastAsia="en-US" w:bidi="ar-SA"/>
      <w14:ligatures w14:val="none"/>
    </w:rPr>
  </w:style>
  <w:style w:type="paragraph" w:styleId="Obinitekst1" w:customStyle="1">
    <w:name w:val="Obični tekst1"/>
    <w:basedOn w:val="Normal"/>
    <w:qFormat/>
    <w:rsid w:val="00d67e86"/>
    <w:pPr>
      <w:spacing w:lineRule="atLeast" w:line="100" w:before="0" w:after="0"/>
    </w:pPr>
    <w:rPr>
      <w:rFonts w:ascii="Consolas" w:hAnsi="Consolas" w:eastAsia="Times New Roman" w:cs="font316"/>
      <w:color w:val="00000A"/>
      <w:kern w:val="2"/>
      <w:sz w:val="21"/>
      <w:szCs w:val="21"/>
      <w14:ligatures w14:val="none"/>
    </w:rPr>
  </w:style>
  <w:style w:type="paragraph" w:styleId="Tijelotekstauvlaka21" w:customStyle="1">
    <w:name w:val="Tijelo teksta - uvlaka 21"/>
    <w:basedOn w:val="Normal"/>
    <w:qFormat/>
    <w:rsid w:val="000d7ffc"/>
    <w:pPr>
      <w:spacing w:lineRule="auto" w:line="480" w:before="0" w:after="120"/>
      <w:ind w:left="283" w:hanging="0"/>
      <w:jc w:val="both"/>
    </w:pPr>
    <w:rPr>
      <w:rFonts w:ascii="Times New Roman" w:hAnsi="Times New Roman" w:eastAsia="Times New Roman" w:cs="Times New Roman"/>
      <w:color w:val="00000A"/>
      <w:kern w:val="2"/>
      <w:szCs w:val="2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7615de"/>
    <w:pPr>
      <w:suppressAutoHyphens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1C4147D655324FA66B4355AB122039" ma:contentTypeVersion="2" ma:contentTypeDescription="Stvaranje novog dokumenta." ma:contentTypeScope="" ma:versionID="9dc6462e8cc12b353e4487ec57c11fb1">
  <xsd:schema xmlns:xsd="http://www.w3.org/2001/XMLSchema" xmlns:xs="http://www.w3.org/2001/XMLSchema" xmlns:p="http://schemas.microsoft.com/office/2006/metadata/properties" xmlns:ns3="879629b8-4486-408d-baf4-4406f8b4f33b" targetNamespace="http://schemas.microsoft.com/office/2006/metadata/properties" ma:root="true" ma:fieldsID="7179e4b3d3858ee25a25868c79b8db7a" ns3:_="">
    <xsd:import namespace="879629b8-4486-408d-baf4-4406f8b4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29b8-4486-408d-baf4-4406f8b4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371E-FBF7-4D0D-82D8-D634190F6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29b8-4486-408d-baf4-4406f8b4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AA110-38FE-415A-8C4D-7F577A860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FE781-455B-46F9-AB4E-0191A4901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6CBE0-6784-47BB-AAEE-9FF7E787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Application>LibreOffice/7.4.1.2$Windows_X86_64 LibreOffice_project/3c58a8f3a960df8bc8fd77b461821e42c061c5f0</Application>
  <AppVersion>15.0000</AppVersion>
  <Pages>7</Pages>
  <Words>1418</Words>
  <Characters>8745</Characters>
  <CharactersWithSpaces>9944</CharactersWithSpaces>
  <Paragraphs>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2023-09-08T05:34:00Z</dcterms:created>
  <dc:creator>Sandra Adžaga</dc:creator>
  <dc:description/>
  <dc:language>hr-HR</dc:language>
  <cp:lastModifiedBy/>
  <cp:lastPrinted>2023-09-08T07:41:00Z</cp:lastPrinted>
  <dcterms:modified xsi:type="dcterms:W3CDTF">2026-01-14T12:32:16Z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0x010100D11C4147D655324FA66B4355AB122039</vt:lpwstr>
  </property>
</Properties>
</file>