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ab/>
        <w:tab/>
      </w:r>
      <w:r>
        <w:rPr/>
        <w:drawing>
          <wp:inline distT="0" distB="0" distL="0" distR="0">
            <wp:extent cx="475615" cy="597535"/>
            <wp:effectExtent l="0" t="0" r="0" b="0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</w:rPr>
        <w:t>REPUBLIKA HRVATSKA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</w:rPr>
        <w:t>VUKOVARSKO-SRIJEMSKA ŽUPANIJA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</w:rPr>
        <w:t>OPĆINA NEGOSLAVCI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</w:rPr>
        <w:t xml:space="preserve">Općinsko vijeće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color w:val="000000"/>
        </w:rPr>
        <w:t>KLASA:</w:t>
      </w:r>
      <w:r>
        <w:rPr>
          <w:rFonts w:eastAsia="Calibri" w:cs="Times New Roman" w:ascii="Times New Roman" w:hAnsi="Times New Roman"/>
          <w:color w:val="000000"/>
        </w:rPr>
        <w:t xml:space="preserve"> 400-02/24-01/01</w:t>
      </w:r>
    </w:p>
    <w:p>
      <w:pPr>
        <w:pStyle w:val="Normal"/>
        <w:jc w:val="both"/>
        <w:rPr>
          <w:color w:val="000000"/>
        </w:rPr>
      </w:pPr>
      <w:r>
        <w:rPr>
          <w:rFonts w:eastAsia="Calibri" w:cs="Times New Roman" w:ascii="Times New Roman" w:hAnsi="Times New Roman"/>
          <w:b/>
          <w:color w:val="000000"/>
        </w:rPr>
        <w:t xml:space="preserve">URBROJ: </w:t>
      </w:r>
      <w:r>
        <w:rPr>
          <w:rFonts w:eastAsia="Calibri" w:cs="Times New Roman" w:ascii="Times New Roman" w:hAnsi="Times New Roman"/>
          <w:color w:val="000000"/>
        </w:rPr>
        <w:t>2196-19-02-25-32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color w:val="000000"/>
        </w:rPr>
        <w:t>Negoslavci,</w:t>
      </w:r>
      <w:r>
        <w:rPr>
          <w:rFonts w:eastAsia="Calibri" w:cs="Times New Roman" w:ascii="Times New Roman" w:hAnsi="Times New Roman"/>
          <w:color w:val="000000"/>
        </w:rPr>
        <w:t xml:space="preserve"> 23. prosinca 2025. </w:t>
      </w:r>
    </w:p>
    <w:p>
      <w:pPr>
        <w:pStyle w:val="Normal"/>
        <w:rPr>
          <w:rFonts w:ascii="Times New Roman" w:hAnsi="Times New Roman" w:eastAsia="Times New Roman" w:cs="Times New Roman"/>
          <w:lang w:eastAsia="hr-HR"/>
        </w:rPr>
      </w:pPr>
      <w:r>
        <w:rPr>
          <w:rFonts w:eastAsia="Times New Roman" w:cs="Times New Roman" w:ascii="Times New Roman" w:hAnsi="Times New Roman"/>
          <w:lang w:eastAsia="hr-HR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ab/>
        <w:t>Na temelju članka 76. Zakona o sportu („Narodne novine“ broj 141/22) i članka 19., točke 2. Statuta Općine Negoslavci („Službeni glasnik Općine Negoslavci” broj 04/25) Općinsko vijeće Općine Negoslavci na svojoj redovnoj sjednici održanoj d</w:t>
      </w:r>
      <w:r>
        <w:rPr>
          <w:rFonts w:eastAsia="Calibri" w:cs="Times New Roman" w:ascii="Times New Roman" w:hAnsi="Times New Roman"/>
          <w:color w:val="000000"/>
        </w:rPr>
        <w:t>ana 23.12.2025. godin</w:t>
      </w:r>
      <w:r>
        <w:rPr>
          <w:rFonts w:eastAsia="Calibri" w:cs="Times New Roman" w:ascii="Times New Roman" w:hAnsi="Times New Roman"/>
        </w:rPr>
        <w:t>e donosi</w:t>
      </w:r>
    </w:p>
    <w:p>
      <w:pPr>
        <w:pStyle w:val="Normal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</w:rPr>
        <w:t>Izmjene i dopune P</w:t>
      </w:r>
      <w:bookmarkStart w:id="0" w:name="_Toc62727864"/>
      <w:r>
        <w:rPr>
          <w:rFonts w:eastAsia="Andale Sans UI" w:cs="Times New Roman" w:ascii="Times New Roman" w:hAnsi="Times New Roman"/>
          <w:b/>
          <w:bCs/>
        </w:rPr>
        <w:t>rograma javnih potreba u sportu na području Općine Negoslavci za 2025. god</w:t>
      </w:r>
      <w:bookmarkEnd w:id="0"/>
      <w:r>
        <w:rPr>
          <w:rFonts w:eastAsia="Andale Sans UI" w:cs="Times New Roman" w:ascii="Times New Roman" w:hAnsi="Times New Roman"/>
          <w:b/>
          <w:bCs/>
        </w:rPr>
        <w:t>inu</w:t>
      </w:r>
    </w:p>
    <w:p>
      <w:pPr>
        <w:pStyle w:val="Normal"/>
        <w:widowControl w:val="false"/>
        <w:spacing w:lineRule="exact" w:line="275" w:before="203" w:after="0"/>
        <w:ind w:right="-1" w:hanging="0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</w:rPr>
        <w:t>Članak 1.</w:t>
      </w:r>
    </w:p>
    <w:p>
      <w:pPr>
        <w:pStyle w:val="Normal"/>
        <w:widowControl w:val="false"/>
        <w:spacing w:lineRule="exact" w:line="275" w:before="203" w:after="0"/>
        <w:ind w:right="-1" w:hanging="0"/>
        <w:jc w:val="left"/>
        <w:rPr/>
      </w:pPr>
      <w:r>
        <w:rPr/>
        <w:tab/>
        <w:t xml:space="preserve">Mijenja se članak 4. Programa javnih potreba u sportu na području Općine Negoslavci za 2025. godinu („Službeni glasnik Općine Negoslavci” broj 5/25 i 9/25) i glasi: </w:t>
      </w:r>
    </w:p>
    <w:p>
      <w:pPr>
        <w:pStyle w:val="Normal"/>
        <w:widowControl w:val="false"/>
        <w:spacing w:lineRule="exact" w:line="275" w:before="203" w:after="0"/>
        <w:ind w:right="-1" w:hanging="0"/>
        <w:jc w:val="left"/>
        <w:rPr/>
      </w:pPr>
      <w:r>
        <w:rPr>
          <w:rFonts w:eastAsia="Andale Sans UI" w:cs="Times New Roman" w:ascii="Times New Roman" w:hAnsi="Times New Roman"/>
        </w:rPr>
        <w:t>„</w:t>
      </w:r>
      <w:r>
        <w:rPr>
          <w:rFonts w:eastAsia="Andale Sans UI" w:cs="Times New Roman" w:ascii="Times New Roman" w:hAnsi="Times New Roman"/>
        </w:rPr>
        <w:t>Za provođenje Programa osigurat će se sredstva u proračunu Općine Negoslavci kako slijedi:</w:t>
      </w:r>
    </w:p>
    <w:tbl>
      <w:tblPr>
        <w:tblW w:w="9410" w:type="dxa"/>
        <w:jc w:val="left"/>
        <w:tblInd w:w="1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650"/>
        <w:gridCol w:w="4759"/>
      </w:tblGrid>
      <w:tr>
        <w:trPr/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Sredstva predviđena za programe, projekte i aktivnosti koje provode sportske udruge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92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7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00,00 EUR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Sredstva za uređenje malonogometnog igrališta</w:t>
            </w:r>
          </w:p>
        </w:tc>
        <w:tc>
          <w:tcPr>
            <w:tcW w:w="4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00,00 EUR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Sredstva za igralište sa umjetnom travom</w:t>
            </w:r>
          </w:p>
        </w:tc>
        <w:tc>
          <w:tcPr>
            <w:tcW w:w="4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02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0</w:t>
            </w:r>
            <w:r>
              <w:rPr>
                <w:rFonts w:ascii="Times New Roman" w:hAnsi="Times New Roman"/>
                <w:color w:val="000000"/>
              </w:rPr>
              <w:t>00,00 EUR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</w:rPr>
              <w:t>SVEUKUPNO</w:t>
            </w:r>
          </w:p>
        </w:tc>
        <w:tc>
          <w:tcPr>
            <w:tcW w:w="4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</w:rPr>
              <w:t>202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</w:rPr>
              <w:t>.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</w:rPr>
              <w:t>7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</w:rPr>
              <w:t>00,00 EUR</w:t>
            </w:r>
          </w:p>
        </w:tc>
      </w:tr>
    </w:tbl>
    <w:p>
      <w:pPr>
        <w:pStyle w:val="Normal"/>
        <w:widowControl w:val="false"/>
        <w:spacing w:lineRule="exact" w:line="275" w:before="203" w:after="0"/>
        <w:ind w:right="-1" w:hanging="0"/>
        <w:jc w:val="left"/>
        <w:rPr>
          <w:rFonts w:ascii="Times New Roman" w:hAnsi="Times New Roman" w:eastAsia="Andale Sans UI" w:cs="Times New Roman"/>
          <w:b w:val="false"/>
          <w:b w:val="false"/>
          <w:bCs w:val="false"/>
        </w:rPr>
      </w:pPr>
      <w:r>
        <w:rPr>
          <w:rFonts w:eastAsia="Andale Sans UI" w:cs="Times New Roman" w:ascii="Times New Roman" w:hAnsi="Times New Roman"/>
          <w:b w:val="false"/>
          <w:bCs w:val="false"/>
        </w:rPr>
        <w:t>„</w:t>
      </w:r>
    </w:p>
    <w:p>
      <w:pPr>
        <w:pStyle w:val="Normal"/>
        <w:widowControl w:val="false"/>
        <w:spacing w:lineRule="exact" w:line="283" w:before="0" w:after="0"/>
        <w:ind w:right="-1" w:hanging="0"/>
        <w:jc w:val="center"/>
        <w:rPr>
          <w:b/>
          <w:b/>
          <w:bCs/>
        </w:rPr>
      </w:pPr>
      <w:r>
        <w:rPr>
          <w:rFonts w:eastAsia="Andale Sans UI" w:cs="Times New Roman" w:ascii="Times New Roman" w:hAnsi="Times New Roman"/>
          <w:b/>
          <w:bCs/>
        </w:rPr>
        <w:t>Članak 2.</w:t>
      </w:r>
    </w:p>
    <w:p>
      <w:pPr>
        <w:pStyle w:val="Normal"/>
        <w:widowControl w:val="false"/>
        <w:spacing w:lineRule="exact" w:line="283" w:before="0" w:after="0"/>
        <w:ind w:right="-1" w:hanging="0"/>
        <w:jc w:val="left"/>
        <w:rPr/>
      </w:pPr>
      <w:r>
        <w:rPr>
          <w:rFonts w:eastAsia="Andale Sans UI" w:cs="Times New Roman" w:ascii="Times New Roman" w:hAnsi="Times New Roman"/>
        </w:rPr>
        <w:tab/>
        <w:t>Ostale odredbe Programa se ne mijenjaju, niti se dopunjavaju.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</w:rPr>
        <w:t>Članak 3.</w:t>
      </w:r>
    </w:p>
    <w:p>
      <w:pPr>
        <w:pStyle w:val="Normal"/>
        <w:ind w:firstLine="708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>Ovaj Izmjene i dopune Programa stupaju na snagu dan nakon dana objave u Službenom glasniku Općine Negoslavci.</w:t>
      </w:r>
    </w:p>
    <w:p>
      <w:pPr>
        <w:pStyle w:val="Normal"/>
        <w:ind w:firstLine="708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before="0" w:after="0"/>
        <w:contextualSpacing/>
        <w:jc w:val="right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</w:rPr>
        <w:t>PREDSJEDNIK OPĆINSKOG VIJEĆA</w:t>
      </w:r>
    </w:p>
    <w:p>
      <w:pPr>
        <w:pStyle w:val="Normal"/>
        <w:spacing w:before="0" w:after="0"/>
        <w:contextualSpacing/>
        <w:jc w:val="right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>Miodrag Mišanović</w:t>
      </w:r>
    </w:p>
    <w:p>
      <w:pPr>
        <w:pStyle w:val="Normal"/>
        <w:rPr>
          <w:rFonts w:ascii="Times New Roman" w:hAnsi="Times New Roman"/>
        </w:rPr>
      </w:pPr>
      <w:r>
        <w:rPr/>
      </w:r>
    </w:p>
    <w:sectPr>
      <w:footerReference w:type="default" r:id="rId3"/>
      <w:type w:val="nextPage"/>
      <w:pgSz w:w="11906" w:h="16838"/>
      <w:pgMar w:left="1134" w:right="1134" w:gutter="0" w:header="0" w:top="1134" w:footer="1134" w:bottom="16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odnoje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200"/>
  <w:defaultTabStop w:val="709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Hyperlink"/>
    <w:rPr>
      <w:color w:val="000080"/>
      <w:u w:val="single"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/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Zaglavljeipodnoje" w:customStyle="1">
    <w:name w:val="Zaglavlje i podnožj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Podnoje">
    <w:name w:val="Footer"/>
    <w:basedOn w:val="Zaglavljeipodnoje"/>
    <w:pPr/>
    <w:rPr/>
  </w:style>
  <w:style w:type="paragraph" w:styleId="Sadrajitablice" w:customStyle="1">
    <w:name w:val="Sadržaji tablice"/>
    <w:basedOn w:val="Normal"/>
    <w:qFormat/>
    <w:pPr>
      <w:widowControl w:val="false"/>
      <w:suppressLineNumbers/>
    </w:pPr>
    <w:rPr/>
  </w:style>
  <w:style w:type="paragraph" w:styleId="Naslovtablice" w:customStyle="1">
    <w:name w:val="Naslov tablice"/>
    <w:basedOn w:val="Sadrajitablice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Application>LibreOffice/7.4.1.2$Windows_X86_64 LibreOffice_project/3c58a8f3a960df8bc8fd77b461821e42c061c5f0</Application>
  <AppVersion>15.0000</AppVersion>
  <Pages>1</Pages>
  <Words>178</Words>
  <Characters>1098</Characters>
  <CharactersWithSpaces>1256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2024-01-11T09:22:00Z</dcterms:created>
  <dc:creator/>
  <dc:description/>
  <dc:language>hr-HR</dc:language>
  <cp:lastModifiedBy/>
  <dcterms:modified xsi:type="dcterms:W3CDTF">2026-01-29T15:30:37Z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