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KLA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SA: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400-02/24-01/01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2196-19-01-25-28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 w:val="22"/>
          <w:szCs w:val="22"/>
          <w:lang w:val="hr-HR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  <w:t xml:space="preserve">Na temelju članka 32., stavka 2., točke 1. Statuta Općine Negoslavci („Službeni glasnik Općine Negoslavci” broj 4/25), Općinsko vijeće Općine Negoslavci dana 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23.12.2025. godine donosi</w:t>
      </w:r>
    </w:p>
    <w:p>
      <w:pPr>
        <w:pStyle w:val="Normal"/>
        <w:bidi w:val="0"/>
        <w:jc w:val="left"/>
        <w:rPr>
          <w:rFonts w:ascii="Times New Roman" w:hAnsi="Times New Roman" w:eastAsia="Calibri" w:cs="Times New Roman"/>
          <w:sz w:val="22"/>
          <w:szCs w:val="22"/>
          <w:lang w:val="hr-HR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Izmjene i dopune P</w:t>
      </w:r>
      <w:bookmarkStart w:id="0" w:name="_Toc62727867"/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rograma financiranja udruga i općedruštvenih djelatnosti na području Općine Negoslavci za 2025. godinu</w:t>
      </w:r>
      <w:bookmarkEnd w:id="0"/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I</w:t>
      </w:r>
    </w:p>
    <w:p>
      <w:pPr>
        <w:pStyle w:val="Normal"/>
        <w:widowControl w:val="false"/>
        <w:suppressAutoHyphens w:val="true"/>
        <w:bidi w:val="0"/>
        <w:spacing w:before="0" w:after="12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 w:val="22"/>
          <w:szCs w:val="22"/>
          <w:lang w:val="hr-HR" w:eastAsia="zh-CN"/>
        </w:rPr>
        <w:tab/>
        <w:t>Mijenja se točka II. Programa financiranja udruga i općedruštvenih djelatnosti na području Općine Negoslavci za 2025. godinu („Službeni glasnik Općine Negoslavci” broj 9/24) i glasi:</w:t>
      </w:r>
    </w:p>
    <w:p>
      <w:pPr>
        <w:pStyle w:val="Normal"/>
        <w:widowControl w:val="false"/>
        <w:suppressAutoHyphens w:val="true"/>
        <w:bidi w:val="0"/>
        <w:spacing w:before="0" w:after="12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 w:val="22"/>
          <w:szCs w:val="22"/>
          <w:lang w:val="hr-HR" w:eastAsia="zh-CN"/>
        </w:rPr>
        <w:tab/>
      </w:r>
      <w:r>
        <w:rPr>
          <w:rFonts w:eastAsia="Calibri" w:cs="Times New Roman" w:ascii="Times New Roman" w:hAnsi="Times New Roman"/>
          <w:sz w:val="22"/>
          <w:szCs w:val="22"/>
          <w:lang w:val="hr-HR"/>
        </w:rPr>
        <w:t>„Sredstva osigurana u Proračunu Općine Negoslavci za 2025. godinu raspodijelit će se udrugama i zajednicama od posebnog interesa, kako slijedi: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Zajedničko vijeće općina </w:t>
        <w:tab/>
        <w:tab/>
        <w:tab/>
        <w:tab/>
        <w:tab/>
        <w:t xml:space="preserve">            5.500,00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Vjerske zajednice (kapitalne i tekuće donacije) </w:t>
        <w:tab/>
        <w:t xml:space="preserve">   </w:t>
        <w:tab/>
        <w:t xml:space="preserve">                       1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0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.400,00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Kulturne manifestacije na području općine </w:t>
        <w:tab/>
        <w:tab/>
        <w:tab/>
        <w:t xml:space="preserve">            5.000,00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LAG Srijem</w:t>
        <w:tab/>
        <w:tab/>
        <w:tab/>
        <w:tab/>
        <w:tab/>
        <w:t xml:space="preserve">            2.000,00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nacionalnim manjinama</w:t>
        <w:tab/>
        <w:tab/>
        <w:tab/>
        <w:t xml:space="preserve">            6.000,00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Glas potrošača</w:t>
        <w:tab/>
        <w:tab/>
        <w:tab/>
        <w:tab/>
        <w:tab/>
        <w:t xml:space="preserve">               265,00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za U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pl-PL" w:eastAsia="zh-CN"/>
        </w:rPr>
        <w:t xml:space="preserve">druge na osnovu javnog poziva  </w:t>
        <w:tab/>
        <w:t xml:space="preserve">                       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pl-PL" w:eastAsia="zh-CN"/>
        </w:rPr>
        <w:t>102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pl-PL" w:eastAsia="zh-CN"/>
        </w:rPr>
        <w:t>.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pl-PL" w:eastAsia="zh-CN"/>
        </w:rPr>
        <w:t>8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pl-PL" w:eastAsia="zh-CN"/>
        </w:rPr>
        <w:t>00,00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donacija ostalim neprofitnim organizacijama</w:t>
        <w:tab/>
        <w:t xml:space="preserve">                         2.000,00 EUR</w:t>
      </w:r>
    </w:p>
    <w:p>
      <w:pPr>
        <w:pStyle w:val="Normal"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 xml:space="preserve">UKUPNO: </w:t>
        <w:tab/>
        <w:tab/>
        <w:tab/>
        <w:tab/>
        <w:tab/>
        <w:tab/>
        <w:t xml:space="preserve">                    133.965,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00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 xml:space="preserve"> EUR”</w:t>
      </w:r>
    </w:p>
    <w:p>
      <w:pPr>
        <w:pStyle w:val="Normal"/>
        <w:bidi w:val="0"/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widowControl w:val="false"/>
        <w:bidi w:val="0"/>
        <w:spacing w:lineRule="exact" w:line="283" w:before="0" w:after="0"/>
        <w:ind w:right="-1" w:hanging="0"/>
        <w:jc w:val="center"/>
        <w:rPr>
          <w:b/>
          <w:b/>
          <w:bCs/>
        </w:rPr>
      </w:pPr>
      <w:r>
        <w:rPr>
          <w:rFonts w:eastAsia="Andale Sans UI" w:cs="Times New Roman" w:ascii="Times New Roman" w:hAnsi="Times New Roman"/>
          <w:b/>
          <w:bCs/>
        </w:rPr>
        <w:t>II</w:t>
      </w:r>
    </w:p>
    <w:p>
      <w:pPr>
        <w:pStyle w:val="Normal"/>
        <w:widowControl w:val="false"/>
        <w:bidi w:val="0"/>
        <w:spacing w:lineRule="exact" w:line="283" w:before="0" w:after="0"/>
        <w:ind w:right="-1" w:hanging="0"/>
        <w:jc w:val="left"/>
        <w:rPr/>
      </w:pPr>
      <w:r>
        <w:rPr>
          <w:rFonts w:eastAsia="Andale Sans UI" w:cs="Times New Roman" w:ascii="Times New Roman" w:hAnsi="Times New Roman"/>
        </w:rPr>
        <w:tab/>
        <w:t>Ostale odredbe Programa se ne mijenjaju, niti se dopunjavaju.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2"/>
          <w:szCs w:val="22"/>
          <w:lang w:val="hr-HR"/>
        </w:rPr>
        <w:t>Ovaj Izmjene i dopune Programa stupaju na snagu dan nakon dana objave u Službenom glasniku Općine Negoslavci.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PREDSJEDNIK OPĆINSKOG VIJEĆA</w:t>
      </w:r>
    </w:p>
    <w:p>
      <w:pPr>
        <w:pStyle w:val="Normal"/>
        <w:bidi w:val="0"/>
        <w:spacing w:before="0" w:after="0"/>
        <w:contextualSpacing/>
        <w:jc w:val="right"/>
        <w:rPr>
          <w:rFonts w:ascii="Times New Roman" w:hAnsi="Times New Roman"/>
        </w:rPr>
      </w:pPr>
      <w:bookmarkStart w:id="1" w:name="_GoBack"/>
      <w:bookmarkEnd w:id="1"/>
      <w:r>
        <w:rPr>
          <w:rFonts w:eastAsia="Calibri" w:cs="Times New Roman" w:ascii="Times New Roman" w:hAnsi="Times New Roman"/>
          <w:sz w:val="22"/>
          <w:szCs w:val="22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LibreOffice/7.4.1.2$Windows_X86_64 LibreOffice_project/3c58a8f3a960df8bc8fd77b461821e42c061c5f0</Application>
  <AppVersion>15.0000</AppVersion>
  <Pages>1</Pages>
  <Words>202</Words>
  <Characters>1285</Characters>
  <CharactersWithSpaces>1642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2026-01-13T08:51:55Z</dcterms:created>
  <dc:creator/>
  <dc:description/>
  <dc:language>hr-HR</dc:language>
  <cp:lastModifiedBy/>
  <dcterms:modified xsi:type="dcterms:W3CDTF">2026-01-29T14:51:24Z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