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ab/>
      </w:r>
    </w:p>
    <w:p>
      <w:pPr>
        <w:pStyle w:val="Normal"/>
        <w:jc w:val="right"/>
        <w:rPr>
          <w:b/>
          <w:b/>
          <w:bCs/>
          <w:lang w:val="hr-HR"/>
        </w:rPr>
      </w:pPr>
      <w:r>
        <w:rPr>
          <w:b/>
          <w:bCs/>
          <w:lang w:val="hr-HR"/>
        </w:rPr>
        <w:t>PRIJEDLOG PRAVILNIKA Općinski načelnik</w:t>
      </w:r>
    </w:p>
    <w:p>
      <w:pPr>
        <w:pStyle w:val="Normal"/>
        <w:rPr>
          <w:b/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REPUBLIKA HRVATSKA</w:t>
      </w:r>
    </w:p>
    <w:p>
      <w:pPr>
        <w:pStyle w:val="Normal"/>
        <w:rPr>
          <w:b/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VUKOVARSKO-SRIJEMSKA ŽUPANIJA</w:t>
      </w:r>
    </w:p>
    <w:p>
      <w:pPr>
        <w:pStyle w:val="Normal"/>
        <w:rPr>
          <w:b/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OPĆINA NEGOSLAVCI</w:t>
      </w:r>
    </w:p>
    <w:p>
      <w:pPr>
        <w:pStyle w:val="Normal"/>
        <w:rPr>
          <w:b/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Općinski načelnik</w:t>
      </w:r>
    </w:p>
    <w:p>
      <w:pPr>
        <w:pStyle w:val="Normal"/>
        <w:rPr>
          <w:rFonts w:cs="Calibri"/>
          <w:b/>
          <w:b/>
          <w:bCs/>
          <w:sz w:val="24"/>
          <w:szCs w:val="24"/>
          <w:lang w:val="hr-HR"/>
        </w:rPr>
      </w:pPr>
      <w:r>
        <w:rPr>
          <w:rFonts w:cs="Calibri"/>
          <w:b/>
          <w:bCs/>
          <w:sz w:val="24"/>
          <w:szCs w:val="24"/>
          <w:lang w:val="hr-HR"/>
        </w:rPr>
        <w:t>KLASA</w:t>
      </w:r>
      <w:r>
        <w:rPr>
          <w:rFonts w:cs="Calibri"/>
          <w:sz w:val="24"/>
          <w:szCs w:val="24"/>
          <w:lang w:val="hr-HR"/>
        </w:rPr>
        <w:t>: 300-01/26-01/01</w:t>
      </w:r>
    </w:p>
    <w:p>
      <w:pPr>
        <w:pStyle w:val="Normal"/>
        <w:rPr>
          <w:rFonts w:cs="Calibri"/>
          <w:b/>
          <w:b/>
          <w:bCs/>
          <w:sz w:val="24"/>
          <w:szCs w:val="24"/>
          <w:lang w:val="hr-HR"/>
        </w:rPr>
      </w:pPr>
      <w:r>
        <w:rPr>
          <w:rFonts w:cs="Calibri"/>
          <w:b/>
          <w:bCs/>
          <w:sz w:val="24"/>
          <w:szCs w:val="24"/>
          <w:lang w:val="hr-HR"/>
        </w:rPr>
        <w:t>URBROJ</w:t>
      </w:r>
      <w:r>
        <w:rPr>
          <w:rFonts w:cs="Calibri"/>
          <w:sz w:val="24"/>
          <w:szCs w:val="24"/>
          <w:lang w:val="hr-HR"/>
        </w:rPr>
        <w:t>: 2196-19-01-26-01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b/>
          <w:bCs/>
          <w:sz w:val="24"/>
          <w:szCs w:val="24"/>
          <w:lang w:val="hr-HR"/>
        </w:rPr>
        <w:t>Negoslavci</w:t>
      </w:r>
      <w:r>
        <w:rPr>
          <w:rFonts w:cs="Calibri"/>
          <w:sz w:val="24"/>
          <w:szCs w:val="24"/>
          <w:lang w:val="hr-HR"/>
        </w:rPr>
        <w:t xml:space="preserve">, </w:t>
      </w:r>
      <w:r>
        <w:rPr>
          <w:rFonts w:cs="Calibri"/>
          <w:sz w:val="24"/>
          <w:szCs w:val="24"/>
          <w:lang w:val="hr-HR"/>
        </w:rPr>
        <w:t>02</w:t>
      </w:r>
      <w:r>
        <w:rPr>
          <w:rFonts w:cs="Calibri"/>
          <w:sz w:val="24"/>
          <w:szCs w:val="24"/>
          <w:lang w:val="hr-HR"/>
        </w:rPr>
        <w:t xml:space="preserve">. siječnja 2026. </w:t>
      </w:r>
    </w:p>
    <w:p>
      <w:pPr>
        <w:pStyle w:val="Normal"/>
        <w:jc w:val="both"/>
        <w:rPr>
          <w:rFonts w:cs="Calibri"/>
          <w:color w:val="000000"/>
          <w:sz w:val="24"/>
          <w:szCs w:val="24"/>
          <w:lang w:val="hr-HR"/>
        </w:rPr>
      </w:pPr>
      <w:r>
        <w:rPr>
          <w:rFonts w:cs="Calibri"/>
          <w:color w:val="000000"/>
          <w:sz w:val="24"/>
          <w:szCs w:val="24"/>
          <w:lang w:val="hr-HR"/>
        </w:rPr>
        <w:t>........</w:t>
      </w:r>
    </w:p>
    <w:p>
      <w:pPr>
        <w:pStyle w:val="Normal"/>
        <w:ind w:firstLine="708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color w:val="000000"/>
          <w:sz w:val="24"/>
          <w:szCs w:val="24"/>
          <w:lang w:val="hr-HR"/>
        </w:rPr>
        <w:t xml:space="preserve">Temeljem članka 10. st.1. t. 3. Zakona o poticanju razvoja malog gospodarstva (NN 29/02, 63/07, 53/12, 56/13 i 121/16), </w:t>
      </w:r>
      <w:bookmarkStart w:id="0" w:name="_Hlk89344897"/>
      <w:r>
        <w:rPr>
          <w:rFonts w:cs="Calibri"/>
          <w:color w:val="000000"/>
          <w:sz w:val="24"/>
          <w:szCs w:val="24"/>
          <w:lang w:val="hr-HR"/>
        </w:rPr>
        <w:t>članka 32., stavka 2., točke 2. Statuta Općine Negoslavci (Službeni glasnik Općine Negoslavci 4/25)</w:t>
      </w:r>
      <w:r>
        <w:rPr>
          <w:rFonts w:cs="Calibri"/>
          <w:sz w:val="24"/>
          <w:szCs w:val="24"/>
          <w:lang w:val="hr-HR"/>
        </w:rPr>
        <w:t xml:space="preserve"> Općinski načelnik Općine Negoslavci dana </w:t>
      </w:r>
      <w:r>
        <w:rPr>
          <w:rFonts w:cs="Calibri"/>
          <w:sz w:val="24"/>
          <w:szCs w:val="24"/>
          <w:lang w:val="hr-HR"/>
        </w:rPr>
        <w:t>02</w:t>
      </w:r>
      <w:r>
        <w:rPr>
          <w:rFonts w:cs="Calibri"/>
          <w:sz w:val="24"/>
          <w:szCs w:val="24"/>
          <w:lang w:val="hr-HR"/>
        </w:rPr>
        <w:t>.</w:t>
      </w:r>
      <w:r>
        <w:rPr>
          <w:rFonts w:cs="Calibri"/>
          <w:sz w:val="24"/>
          <w:szCs w:val="24"/>
          <w:lang w:val="hr-HR"/>
        </w:rPr>
        <w:t>02</w:t>
      </w:r>
      <w:r>
        <w:rPr>
          <w:rFonts w:cs="Calibri"/>
          <w:sz w:val="24"/>
          <w:szCs w:val="24"/>
          <w:lang w:val="hr-HR"/>
        </w:rPr>
        <w:t>.2026 godine donosi</w:t>
      </w:r>
      <w:bookmarkEnd w:id="0"/>
    </w:p>
    <w:p>
      <w:pPr>
        <w:pStyle w:val="Normal"/>
        <w:ind w:firstLine="708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</w:r>
    </w:p>
    <w:p>
      <w:pPr>
        <w:pStyle w:val="Normal"/>
        <w:jc w:val="center"/>
        <w:rPr>
          <w:rFonts w:cs="Calibri"/>
          <w:b/>
          <w:b/>
          <w:bCs/>
          <w:sz w:val="24"/>
          <w:szCs w:val="24"/>
          <w:lang w:val="hr-HR"/>
        </w:rPr>
      </w:pPr>
      <w:r>
        <w:rPr>
          <w:rFonts w:cs="Calibri"/>
          <w:b/>
          <w:bCs/>
          <w:sz w:val="24"/>
          <w:szCs w:val="24"/>
          <w:lang w:val="hr-HR"/>
        </w:rPr>
        <w:t>PRAVILNIK</w:t>
      </w:r>
    </w:p>
    <w:p>
      <w:pPr>
        <w:pStyle w:val="Normal"/>
        <w:jc w:val="center"/>
        <w:rPr>
          <w:rFonts w:cs="Calibri"/>
          <w:sz w:val="24"/>
          <w:szCs w:val="24"/>
          <w:lang w:val="hr-HR"/>
        </w:rPr>
      </w:pPr>
      <w:r>
        <w:rPr>
          <w:rFonts w:cs="Calibri"/>
          <w:b/>
          <w:bCs/>
          <w:sz w:val="24"/>
          <w:szCs w:val="24"/>
          <w:lang w:val="hr-HR"/>
        </w:rPr>
        <w:t xml:space="preserve">o poticanju gospodarskog razvoja Općine Negoslavci </w:t>
      </w:r>
    </w:p>
    <w:p>
      <w:pPr>
        <w:pStyle w:val="Normal"/>
        <w:jc w:val="center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</w:r>
    </w:p>
    <w:p>
      <w:pPr>
        <w:pStyle w:val="Normal"/>
        <w:jc w:val="center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</w:r>
    </w:p>
    <w:p>
      <w:pPr>
        <w:pStyle w:val="Normal"/>
        <w:numPr>
          <w:ilvl w:val="0"/>
          <w:numId w:val="4"/>
        </w:numPr>
        <w:jc w:val="both"/>
        <w:rPr>
          <w:rFonts w:cs="Calibri"/>
          <w:b/>
          <w:b/>
          <w:sz w:val="24"/>
          <w:szCs w:val="24"/>
          <w:lang w:val="hr-HR"/>
        </w:rPr>
      </w:pPr>
      <w:r>
        <w:rPr>
          <w:rFonts w:cs="Calibri"/>
          <w:b/>
          <w:sz w:val="24"/>
          <w:szCs w:val="24"/>
          <w:lang w:val="hr-HR"/>
        </w:rPr>
        <w:t>OPĆE ODREDBE</w:t>
      </w:r>
    </w:p>
    <w:p>
      <w:pPr>
        <w:pStyle w:val="Normal"/>
        <w:jc w:val="center"/>
        <w:rPr>
          <w:rFonts w:cs="Calibri"/>
          <w:sz w:val="24"/>
          <w:szCs w:val="24"/>
          <w:lang w:val="hr-HR"/>
        </w:rPr>
      </w:pPr>
      <w:r>
        <w:rPr>
          <w:rFonts w:cs="Calibri"/>
          <w:b/>
          <w:sz w:val="24"/>
          <w:szCs w:val="24"/>
          <w:lang w:val="hr-HR"/>
        </w:rPr>
        <w:t>Članak 1.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ab/>
        <w:t>Ovim Pravilnikom utvrđuju se svrha i ciljevi Pravilnika, korisnici, nositelji potpore, mjere potpora, postupak dodjele sredstava, izvore sredstava, obveze korisnika sredstava i kontrola namjenskog utroška dodijeljenih sredstava te ostale odredbe bitne za provođenje.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ab/>
        <w:t>Sa svrhom poticanja postojećeg i stimuliranja novog poslovanja, smanjenja broja nezaposlenih i realizacije projekata razvoja malog i srednjeg poduzetništva i obrtništva, Općina Negoslavci, na način i prema uvjetima utvrđenim ovim pravilnikom pomaže malim i srednjim poduzetnicima i obrtnicima u početnim fazama poslovanja, omogućuje povećanje zaposlenosti te stvara pozitivno okruženje za poduzetničku inicijativu.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</w:r>
    </w:p>
    <w:p>
      <w:pPr>
        <w:pStyle w:val="Normal"/>
        <w:numPr>
          <w:ilvl w:val="0"/>
          <w:numId w:val="4"/>
        </w:numPr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b/>
          <w:sz w:val="24"/>
          <w:szCs w:val="24"/>
          <w:lang w:val="hr-HR"/>
        </w:rPr>
        <w:t>KORISNICI POTPORE</w:t>
      </w:r>
    </w:p>
    <w:p>
      <w:pPr>
        <w:pStyle w:val="Normal"/>
        <w:jc w:val="center"/>
        <w:rPr>
          <w:rFonts w:cs="Calibri"/>
          <w:sz w:val="24"/>
          <w:szCs w:val="24"/>
          <w:lang w:val="hr-HR"/>
        </w:rPr>
      </w:pPr>
      <w:r>
        <w:rPr>
          <w:rFonts w:cs="Calibri"/>
          <w:b/>
          <w:sz w:val="24"/>
          <w:szCs w:val="24"/>
          <w:lang w:val="hr-HR"/>
        </w:rPr>
        <w:t>Članak 2.</w:t>
      </w:r>
    </w:p>
    <w:p>
      <w:pPr>
        <w:pStyle w:val="Normal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ab/>
      </w:r>
      <w:r>
        <w:rPr>
          <w:rFonts w:eastAsia="Calibri" w:cs="Calibri"/>
          <w:b/>
          <w:bCs/>
          <w:sz w:val="24"/>
          <w:szCs w:val="24"/>
          <w:lang w:val="hr-HR"/>
        </w:rPr>
        <w:t>Prihvatljivi korisnici</w:t>
      </w:r>
      <w:r>
        <w:rPr>
          <w:rFonts w:eastAsia="Calibri" w:cs="Calibri"/>
          <w:sz w:val="24"/>
          <w:szCs w:val="24"/>
          <w:lang w:val="hr-HR"/>
        </w:rPr>
        <w:t xml:space="preserve"> </w:t>
      </w:r>
      <w:r>
        <w:rPr>
          <w:rFonts w:cs="Calibri"/>
          <w:sz w:val="24"/>
          <w:szCs w:val="24"/>
          <w:lang w:val="hr-HR"/>
        </w:rPr>
        <w:t>su fizičke osobe koje obavljaju registriranu djelatnost – obrti i pravne osobe - trgovačka društva, koja imaju sjedište na području Općine Negoslavci, koji za obavljanje registrirane djelatnosti evidentirani u nadležnom registru do dana otvaranja ovog poziva i</w:t>
      </w:r>
      <w:r>
        <w:rPr>
          <w:rFonts w:eastAsia="Calibri" w:cs="Calibri"/>
          <w:sz w:val="24"/>
          <w:szCs w:val="24"/>
          <w:lang w:val="hr-HR"/>
        </w:rPr>
        <w:t xml:space="preserve"> koji ispunjavaju sljedeće uvjete:</w:t>
      </w:r>
    </w:p>
    <w:p>
      <w:pPr>
        <w:pStyle w:val="Normal"/>
        <w:numPr>
          <w:ilvl w:val="0"/>
          <w:numId w:val="2"/>
        </w:numPr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podmirili sve dospjele obveze prema Općini Negoslavci,</w:t>
      </w:r>
    </w:p>
    <w:p>
      <w:pPr>
        <w:pStyle w:val="Normal"/>
        <w:numPr>
          <w:ilvl w:val="0"/>
          <w:numId w:val="2"/>
        </w:numPr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podmirili sve dospjele obveze po osnovi javnih davanja o kojima evidenciju vodi Porezna uprava.</w:t>
      </w:r>
    </w:p>
    <w:p>
      <w:pPr>
        <w:pStyle w:val="Normal"/>
        <w:numPr>
          <w:ilvl w:val="0"/>
          <w:numId w:val="2"/>
        </w:numPr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u 2024., 2025. ili 2026. godini otvorili obrt ili trgovačko društvo.</w:t>
      </w:r>
    </w:p>
    <w:p>
      <w:pPr>
        <w:pStyle w:val="Normal"/>
        <w:ind w:left="720" w:hanging="0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</w:r>
    </w:p>
    <w:p>
      <w:pPr>
        <w:pStyle w:val="Normal"/>
        <w:ind w:left="360" w:hanging="0"/>
        <w:jc w:val="both"/>
        <w:rPr>
          <w:rFonts w:eastAsia="Calibri" w:cs="Calibri"/>
          <w:b/>
          <w:b/>
          <w:bCs/>
          <w:sz w:val="24"/>
          <w:szCs w:val="24"/>
          <w:lang w:val="hr-HR"/>
        </w:rPr>
      </w:pPr>
      <w:r>
        <w:rPr>
          <w:rFonts w:eastAsia="Calibri" w:cs="Calibri"/>
          <w:b/>
          <w:bCs/>
          <w:sz w:val="24"/>
          <w:szCs w:val="24"/>
          <w:lang w:val="hr-HR"/>
        </w:rPr>
        <w:t xml:space="preserve">      </w:t>
      </w:r>
      <w:r>
        <w:rPr>
          <w:rFonts w:eastAsia="Calibri" w:cs="Calibri"/>
          <w:b/>
          <w:bCs/>
          <w:sz w:val="24"/>
          <w:szCs w:val="24"/>
          <w:lang w:val="hr-HR"/>
        </w:rPr>
        <w:t>Neprihvatljivi korisnici:</w:t>
      </w:r>
    </w:p>
    <w:p>
      <w:pPr>
        <w:pStyle w:val="Normal"/>
        <w:numPr>
          <w:ilvl w:val="0"/>
          <w:numId w:val="5"/>
        </w:numPr>
        <w:jc w:val="both"/>
        <w:rPr>
          <w:rFonts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koji su prethodnih godina ostvarili poticaj od Općine Negoslavci, bez obzira na propisanu mjeru;</w:t>
      </w:r>
    </w:p>
    <w:p>
      <w:pPr>
        <w:pStyle w:val="Normal"/>
        <w:numPr>
          <w:ilvl w:val="0"/>
          <w:numId w:val="5"/>
        </w:numPr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>nad kojima je otvoren stečajni postupak ili postupak likvidacije;</w:t>
      </w:r>
    </w:p>
    <w:p>
      <w:pPr>
        <w:pStyle w:val="Normal"/>
        <w:ind w:left="720" w:hanging="0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</w:r>
    </w:p>
    <w:p>
      <w:pPr>
        <w:pStyle w:val="Normal"/>
        <w:ind w:left="720" w:hanging="0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</w:r>
    </w:p>
    <w:p>
      <w:pPr>
        <w:pStyle w:val="Normal"/>
        <w:ind w:left="720" w:hanging="0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</w:r>
    </w:p>
    <w:p>
      <w:pPr>
        <w:pStyle w:val="Normal"/>
        <w:ind w:left="720" w:hanging="0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</w:r>
    </w:p>
    <w:p>
      <w:pPr>
        <w:pStyle w:val="Normal"/>
        <w:numPr>
          <w:ilvl w:val="0"/>
          <w:numId w:val="4"/>
        </w:numPr>
        <w:jc w:val="both"/>
        <w:rPr>
          <w:rFonts w:cs="Calibri"/>
          <w:b/>
          <w:b/>
          <w:sz w:val="24"/>
          <w:szCs w:val="24"/>
          <w:lang w:val="hr-HR"/>
        </w:rPr>
      </w:pPr>
      <w:r>
        <w:rPr>
          <w:rFonts w:cs="Calibri"/>
          <w:b/>
          <w:sz w:val="24"/>
          <w:szCs w:val="24"/>
          <w:lang w:val="hr-HR"/>
        </w:rPr>
        <w:t>NOSITELJI POTPORE</w:t>
      </w:r>
    </w:p>
    <w:p>
      <w:pPr>
        <w:pStyle w:val="Normal"/>
        <w:jc w:val="center"/>
        <w:rPr>
          <w:rFonts w:eastAsia="Calibri" w:cs="Calibri"/>
          <w:sz w:val="24"/>
          <w:szCs w:val="24"/>
          <w:lang w:val="hr-HR"/>
        </w:rPr>
      </w:pPr>
      <w:r>
        <w:rPr>
          <w:rFonts w:cs="Calibri"/>
          <w:b/>
          <w:sz w:val="24"/>
          <w:szCs w:val="24"/>
          <w:lang w:val="hr-HR"/>
        </w:rPr>
        <w:t>Članak 3.</w:t>
      </w:r>
    </w:p>
    <w:p>
      <w:pPr>
        <w:pStyle w:val="Normal"/>
        <w:ind w:firstLine="709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Odluku o početku provedbe Pravilnika o poticanju gospodarskog razvoja na području Općine Negoslavci u 2026. godini donosi Općinski načelnik.</w:t>
      </w:r>
    </w:p>
    <w:p>
      <w:pPr>
        <w:pStyle w:val="Normal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ab/>
        <w:t>Za provođenje odredbi ovog Pravilnika zadužuje se Jedinstveni upravni odjel koji temeljem Odluke Općinskog načelnika o početku provedbe Pravilnika raspisuje Javni poziv za dodjelu sredstava potpore iz proračuna Općine Negoslavci za poticanje gospodarskog razvoja u 2026. godini.</w:t>
      </w:r>
    </w:p>
    <w:p>
      <w:pPr>
        <w:pStyle w:val="Normal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ab/>
        <w:tab/>
      </w:r>
    </w:p>
    <w:p>
      <w:pPr>
        <w:pStyle w:val="Normal"/>
        <w:numPr>
          <w:ilvl w:val="0"/>
          <w:numId w:val="4"/>
        </w:numPr>
        <w:jc w:val="both"/>
        <w:rPr>
          <w:rFonts w:cs="Calibri"/>
          <w:b/>
          <w:b/>
          <w:sz w:val="24"/>
          <w:szCs w:val="24"/>
          <w:lang w:val="hr-HR"/>
        </w:rPr>
      </w:pPr>
      <w:r>
        <w:rPr>
          <w:rFonts w:cs="Calibri"/>
          <w:b/>
          <w:sz w:val="24"/>
          <w:szCs w:val="24"/>
          <w:lang w:val="hr-HR"/>
        </w:rPr>
        <w:t>MJERE POTPORE</w:t>
      </w:r>
    </w:p>
    <w:p>
      <w:pPr>
        <w:pStyle w:val="Normal"/>
        <w:jc w:val="center"/>
        <w:rPr>
          <w:rFonts w:eastAsia="Calibri" w:cs="Calibri"/>
          <w:sz w:val="24"/>
          <w:szCs w:val="24"/>
          <w:lang w:val="hr-HR"/>
        </w:rPr>
      </w:pPr>
      <w:r>
        <w:rPr>
          <w:rFonts w:cs="Calibri"/>
          <w:b/>
          <w:sz w:val="24"/>
          <w:szCs w:val="24"/>
          <w:lang w:val="hr-HR"/>
        </w:rPr>
        <w:t>Članak 4.</w:t>
      </w:r>
    </w:p>
    <w:p>
      <w:pPr>
        <w:pStyle w:val="Normal"/>
        <w:ind w:firstLine="708"/>
        <w:jc w:val="both"/>
        <w:rPr>
          <w:rFonts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Mjere za koju se temeljem odredaba Pravilnika može ostvariti potpora je</w:t>
      </w:r>
      <w:r>
        <w:rPr>
          <w:rFonts w:cs="Calibri"/>
          <w:sz w:val="24"/>
          <w:szCs w:val="24"/>
          <w:lang w:val="hr-HR"/>
        </w:rPr>
        <w:t xml:space="preserve">  Potpora za zapošljavanje ili samozapošljavanje.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</w:r>
    </w:p>
    <w:p>
      <w:pPr>
        <w:pStyle w:val="Normal"/>
        <w:jc w:val="center"/>
        <w:rPr>
          <w:rFonts w:cs="Calibri"/>
          <w:sz w:val="24"/>
          <w:szCs w:val="24"/>
          <w:lang w:val="hr-HR"/>
        </w:rPr>
      </w:pPr>
      <w:r>
        <w:rPr>
          <w:rFonts w:cs="Calibri"/>
          <w:b/>
          <w:sz w:val="24"/>
          <w:szCs w:val="24"/>
          <w:lang w:val="hr-HR"/>
        </w:rPr>
        <w:t>Članak 5.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ab/>
        <w:t>Potpora za zapošljavanje ili samozapošljavanje obuhvaća sufinanciranje dijela obveznih doprinosa za mirovinsko i zdravstveno osiguranje u iznosu od maksimalno 3.500,00 EUR (slovima: tritisućepetstotinaeura), a isplaćuje se korisniku u jednokratnom iznosu.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</w:r>
    </w:p>
    <w:p>
      <w:pPr>
        <w:pStyle w:val="Normal"/>
        <w:jc w:val="center"/>
        <w:rPr>
          <w:rFonts w:cs="Calibri"/>
          <w:b/>
          <w:b/>
          <w:bCs/>
          <w:sz w:val="24"/>
          <w:szCs w:val="24"/>
          <w:lang w:val="hr-HR"/>
        </w:rPr>
      </w:pPr>
      <w:r>
        <w:rPr>
          <w:rFonts w:cs="Calibri"/>
          <w:b/>
          <w:bCs/>
          <w:sz w:val="24"/>
          <w:szCs w:val="24"/>
          <w:lang w:val="hr-HR"/>
        </w:rPr>
        <w:t>Članak 6.</w:t>
      </w:r>
    </w:p>
    <w:p>
      <w:pPr>
        <w:pStyle w:val="Normal"/>
        <w:ind w:firstLine="708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>Potpora iz prethodnog članka ovoga Pravilnika može se ostvariti za: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 xml:space="preserve">– </w:t>
      </w:r>
      <w:r>
        <w:rPr>
          <w:rFonts w:cs="Calibri"/>
          <w:sz w:val="24"/>
          <w:szCs w:val="24"/>
          <w:lang w:val="hr-HR"/>
        </w:rPr>
        <w:t>zapošljavanje osobe ili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 xml:space="preserve">– </w:t>
      </w:r>
      <w:r>
        <w:rPr>
          <w:rFonts w:cs="Calibri"/>
          <w:sz w:val="24"/>
          <w:szCs w:val="24"/>
          <w:lang w:val="hr-HR"/>
        </w:rPr>
        <w:t>samozapošljavanje osobe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>koja ima prebivalište na području Općine Negoslavci.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</w:r>
    </w:p>
    <w:p>
      <w:pPr>
        <w:pStyle w:val="Normal"/>
        <w:jc w:val="center"/>
        <w:rPr>
          <w:rFonts w:cs="Calibri"/>
          <w:b/>
          <w:b/>
          <w:bCs/>
          <w:sz w:val="24"/>
          <w:szCs w:val="24"/>
          <w:lang w:val="hr-HR"/>
        </w:rPr>
      </w:pPr>
      <w:r>
        <w:rPr>
          <w:rFonts w:cs="Calibri"/>
          <w:b/>
          <w:bCs/>
          <w:sz w:val="24"/>
          <w:szCs w:val="24"/>
          <w:lang w:val="hr-HR"/>
        </w:rPr>
        <w:t>Članak 7.</w:t>
      </w:r>
    </w:p>
    <w:p>
      <w:pPr>
        <w:pStyle w:val="Normal"/>
        <w:ind w:firstLine="708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>Korisnik potpore ne smije smanjivati ukupan broj zaposlenih u razdoblju od jedne godine od dana potpisivanja ugovora s Općinom.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</w:r>
    </w:p>
    <w:p>
      <w:pPr>
        <w:pStyle w:val="Normal"/>
        <w:jc w:val="center"/>
        <w:rPr>
          <w:rFonts w:cs="Calibri"/>
          <w:b/>
          <w:b/>
          <w:bCs/>
          <w:sz w:val="24"/>
          <w:szCs w:val="24"/>
          <w:lang w:val="hr-HR"/>
        </w:rPr>
      </w:pPr>
      <w:r>
        <w:rPr>
          <w:rFonts w:cs="Calibri"/>
          <w:b/>
          <w:bCs/>
          <w:sz w:val="24"/>
          <w:szCs w:val="24"/>
          <w:lang w:val="hr-HR"/>
        </w:rPr>
        <w:t>Članak 8.</w:t>
      </w:r>
    </w:p>
    <w:p>
      <w:pPr>
        <w:pStyle w:val="Normal"/>
        <w:ind w:firstLine="708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>Korisnik je u pravilu dužan s osobom za koju traži potporu imati sklopljen ugovor o radu na puno radno vrijeme i na neodređeno vrijeme. Iznimno, ugovor o radu može biti sklopljen na određeno vrijeme, ali u tom slučaju mora biti zaključen na razdoblje od najmanje 12 mjeseci.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</w:r>
    </w:p>
    <w:p>
      <w:pPr>
        <w:pStyle w:val="Normal"/>
        <w:jc w:val="center"/>
        <w:rPr>
          <w:rFonts w:cs="Calibri"/>
          <w:b/>
          <w:b/>
          <w:bCs/>
          <w:sz w:val="24"/>
          <w:szCs w:val="24"/>
          <w:lang w:val="hr-HR"/>
        </w:rPr>
      </w:pPr>
      <w:r>
        <w:rPr>
          <w:rFonts w:cs="Calibri"/>
          <w:b/>
          <w:bCs/>
          <w:sz w:val="24"/>
          <w:szCs w:val="24"/>
          <w:lang w:val="hr-HR"/>
        </w:rPr>
        <w:t>Članak 9.</w:t>
      </w:r>
    </w:p>
    <w:p>
      <w:pPr>
        <w:pStyle w:val="Normal"/>
        <w:ind w:firstLine="708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>Radi ostvarivanja prava na potporu, korisnik je uz zahtjev za potporu dužan priložiti sljedeću dokumentaciju: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 xml:space="preserve">– </w:t>
      </w:r>
      <w:r>
        <w:rPr>
          <w:rFonts w:cs="Calibri"/>
          <w:sz w:val="24"/>
          <w:szCs w:val="24"/>
          <w:lang w:val="hr-HR"/>
        </w:rPr>
        <w:t>preslik osobne iskaznice osobe za koju se traži potpora,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 xml:space="preserve">– </w:t>
      </w:r>
      <w:r>
        <w:rPr>
          <w:rFonts w:cs="Calibri"/>
          <w:sz w:val="24"/>
          <w:szCs w:val="24"/>
          <w:lang w:val="hr-HR"/>
        </w:rPr>
        <w:t>preslik ugovora o radu ili rješenje o upisu u nadležni registar (za samozapošljavanje),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 xml:space="preserve">– </w:t>
      </w:r>
      <w:r>
        <w:rPr>
          <w:rFonts w:cs="Calibri"/>
          <w:sz w:val="24"/>
          <w:szCs w:val="24"/>
          <w:lang w:val="hr-HR"/>
        </w:rPr>
        <w:t>preslik prijave u mirovinsko osiguranje, ne stariji od 30 dana od dana objave Javnog poziva,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 xml:space="preserve">– </w:t>
      </w:r>
      <w:r>
        <w:rPr>
          <w:rFonts w:cs="Calibri"/>
          <w:sz w:val="24"/>
          <w:szCs w:val="24"/>
          <w:lang w:val="hr-HR"/>
        </w:rPr>
        <w:t>izjavu o broju zaposlenih na dan podnošenja zahtjeva.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</w:r>
    </w:p>
    <w:p>
      <w:pPr>
        <w:pStyle w:val="Normal"/>
        <w:jc w:val="center"/>
        <w:rPr>
          <w:rFonts w:cs="Calibri"/>
          <w:b/>
          <w:b/>
          <w:bCs/>
          <w:sz w:val="24"/>
          <w:szCs w:val="24"/>
          <w:lang w:val="hr-HR"/>
        </w:rPr>
      </w:pPr>
      <w:r>
        <w:rPr>
          <w:rFonts w:cs="Calibri"/>
          <w:b/>
          <w:bCs/>
          <w:sz w:val="24"/>
          <w:szCs w:val="24"/>
          <w:lang w:val="hr-HR"/>
        </w:rPr>
        <w:t>Članak 10.</w:t>
      </w:r>
    </w:p>
    <w:p>
      <w:pPr>
        <w:pStyle w:val="Normal"/>
        <w:ind w:firstLine="708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>Korisnik je dužan, nakon potpisivanja ugovora s Općinom, kvartalno dostavljati Općini dokumentaciju iz koje je razvidno da su podmireni obvezni doprinosi, i to preslike JOPPD obrasca za prethodno razdoblje.</w:t>
      </w:r>
    </w:p>
    <w:p>
      <w:pPr>
        <w:pStyle w:val="Normal"/>
        <w:numPr>
          <w:ilvl w:val="0"/>
          <w:numId w:val="4"/>
        </w:numPr>
        <w:jc w:val="both"/>
        <w:rPr>
          <w:rFonts w:cs="Calibri"/>
          <w:b/>
          <w:b/>
          <w:sz w:val="24"/>
          <w:szCs w:val="24"/>
          <w:lang w:val="hr-HR"/>
        </w:rPr>
      </w:pPr>
      <w:r>
        <w:rPr>
          <w:rFonts w:cs="Calibri"/>
          <w:b/>
          <w:sz w:val="24"/>
          <w:szCs w:val="24"/>
          <w:lang w:val="hr-HR"/>
        </w:rPr>
        <w:t>POTREBNA DOKUMENTACIJA I POSTUPAK DODJELE POTPORE</w:t>
      </w:r>
    </w:p>
    <w:p>
      <w:pPr>
        <w:pStyle w:val="Normal"/>
        <w:ind w:left="3686" w:firstLine="338"/>
        <w:rPr>
          <w:rFonts w:cs="Calibri"/>
          <w:b/>
          <w:b/>
          <w:sz w:val="24"/>
          <w:szCs w:val="24"/>
          <w:lang w:val="hr-HR"/>
        </w:rPr>
      </w:pPr>
      <w:r>
        <w:rPr>
          <w:rFonts w:cs="Calibri"/>
          <w:b/>
          <w:sz w:val="24"/>
          <w:szCs w:val="24"/>
          <w:lang w:val="hr-HR"/>
        </w:rPr>
        <w:t>Članak 11.</w:t>
      </w:r>
    </w:p>
    <w:p>
      <w:pPr>
        <w:pStyle w:val="Normal"/>
        <w:ind w:firstLine="708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 xml:space="preserve">Potpore se dodjeljuju na temelju podnesenog zahtjeva uz sljedeću priloženu dokumentaciju </w:t>
      </w:r>
    </w:p>
    <w:p>
      <w:pPr>
        <w:pStyle w:val="Normal"/>
        <w:numPr>
          <w:ilvl w:val="0"/>
          <w:numId w:val="3"/>
        </w:numPr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Popunjeni obrazac Zahtjeva za potporu,</w:t>
      </w:r>
    </w:p>
    <w:p>
      <w:pPr>
        <w:pStyle w:val="Normal"/>
        <w:numPr>
          <w:ilvl w:val="0"/>
          <w:numId w:val="3"/>
        </w:numPr>
        <w:jc w:val="both"/>
        <w:rPr>
          <w:rFonts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Presliku osobne iskaznice vlasnika/osobe ovlaštenje za zastupanje,</w:t>
      </w:r>
    </w:p>
    <w:p>
      <w:pPr>
        <w:pStyle w:val="Normal"/>
        <w:numPr>
          <w:ilvl w:val="0"/>
          <w:numId w:val="3"/>
        </w:numPr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>Presliku dokaza o upisu u odgovarajući registar - za trgovačka društva i obrte,</w:t>
      </w:r>
    </w:p>
    <w:p>
      <w:pPr>
        <w:pStyle w:val="Normal"/>
        <w:numPr>
          <w:ilvl w:val="0"/>
          <w:numId w:val="3"/>
        </w:numPr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>Potvrdu Porezne uprave o podmirenim obvezama s osnove javnih davanja (ne starija od 30 dana od dana otvaranja poziva),</w:t>
      </w:r>
    </w:p>
    <w:p>
      <w:pPr>
        <w:pStyle w:val="Normal"/>
        <w:numPr>
          <w:ilvl w:val="0"/>
          <w:numId w:val="3"/>
        </w:numPr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IBAN – preslika bankovne kartice ili preslika ugovora s bankom o otvaranju poslovnog računa,</w:t>
      </w:r>
    </w:p>
    <w:p>
      <w:pPr>
        <w:pStyle w:val="ListParagraph"/>
        <w:numPr>
          <w:ilvl w:val="0"/>
          <w:numId w:val="3"/>
        </w:numPr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Drugu dokumentaciju propisanu za mjeru potpore.</w:t>
      </w:r>
    </w:p>
    <w:p>
      <w:pPr>
        <w:pStyle w:val="Normal"/>
        <w:ind w:left="1068" w:hanging="0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</w:r>
    </w:p>
    <w:p>
      <w:pPr>
        <w:pStyle w:val="Normal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ab/>
        <w:t>Za provedbu ovog Pravilnika raspisat će se Javni poziv.</w:t>
      </w:r>
    </w:p>
    <w:p>
      <w:pPr>
        <w:pStyle w:val="Normal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ab/>
        <w:t xml:space="preserve">Zahtjevi za mjere potpore objavljuju se na Internet stranici Općine Negoslavci </w:t>
      </w:r>
      <w:hyperlink r:id="rId2">
        <w:r>
          <w:rPr>
            <w:rStyle w:val="Internetskapoveznica"/>
            <w:rFonts w:eastAsia="Calibri" w:cs="Calibri"/>
            <w:color w:val="0563C1"/>
            <w:sz w:val="24"/>
            <w:szCs w:val="24"/>
            <w:lang w:val="hr-HR"/>
          </w:rPr>
          <w:t>www.opcina-negoslavci.hr</w:t>
        </w:r>
      </w:hyperlink>
      <w:r>
        <w:rPr>
          <w:rFonts w:eastAsia="Calibri" w:cs="Calibri"/>
          <w:sz w:val="24"/>
          <w:szCs w:val="24"/>
          <w:lang w:val="hr-HR"/>
        </w:rPr>
        <w:t xml:space="preserve"> a mogu se preuzeti i u Jedinstvenom upravnom odjelu Općine Negoslavci.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Javni poziv bit će otvoren </w:t>
      </w:r>
      <w:r>
        <w:rPr>
          <w:color w:val="000000"/>
          <w:sz w:val="24"/>
          <w:szCs w:val="24"/>
          <w:lang w:val="hr-HR"/>
        </w:rPr>
        <w:t>15 dana od dana objave na internet stranici Općini Negoslavci.</w:t>
      </w:r>
    </w:p>
    <w:p>
      <w:pPr>
        <w:pStyle w:val="Normal"/>
        <w:ind w:firstLine="708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Nepotpune i nepravovremene prijave neće se razmatrati.</w:t>
      </w:r>
    </w:p>
    <w:p>
      <w:pPr>
        <w:pStyle w:val="Normal"/>
        <w:ind w:firstLine="708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Prednost za ostvarivanje prava ove Mjere ima korisnik potpore koji je prije predao dokumentaciju.</w:t>
      </w:r>
    </w:p>
    <w:p>
      <w:pPr>
        <w:pStyle w:val="Normal"/>
        <w:ind w:firstLine="708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 xml:space="preserve">U slučaju eventualne potrebe, JUO će tražiti nadopunu dokumentacije koju je prijavitelj dužan dostaviti u roku od 5 radnih dana od dana primitka Zahtjeva za nadopunu. Ukoliko prijavitelj ne dostavi traženu dokumentaciju u navedenom roku, njegova se prijava neće razmatrati. </w:t>
      </w:r>
    </w:p>
    <w:p>
      <w:pPr>
        <w:pStyle w:val="Normal"/>
        <w:ind w:firstLine="708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 xml:space="preserve">JUO nakon provjere administrativne ispravnosti donosi prijedlog Odluke o dodjeli sredstava potpore i dostavlja Općinskom načelniku  na verificiranje. </w:t>
      </w:r>
    </w:p>
    <w:p>
      <w:pPr>
        <w:pStyle w:val="Normal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ab/>
      </w:r>
    </w:p>
    <w:p>
      <w:pPr>
        <w:pStyle w:val="Normal"/>
        <w:jc w:val="center"/>
        <w:rPr>
          <w:rFonts w:eastAsia="Calibri" w:cs="Calibri"/>
          <w:b/>
          <w:b/>
          <w:bCs/>
          <w:sz w:val="24"/>
          <w:szCs w:val="24"/>
          <w:lang w:val="hr-HR"/>
        </w:rPr>
      </w:pPr>
      <w:r>
        <w:rPr>
          <w:rFonts w:eastAsia="Calibri" w:cs="Calibri"/>
          <w:b/>
          <w:bCs/>
          <w:sz w:val="24"/>
          <w:szCs w:val="24"/>
          <w:lang w:val="hr-HR"/>
        </w:rPr>
        <w:t>Članak 12.</w:t>
      </w:r>
    </w:p>
    <w:p>
      <w:pPr>
        <w:pStyle w:val="Normal"/>
        <w:ind w:firstLine="708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Odluku o dodjeli potpore donosi Općinski načelnik na prijedlog JUO.</w:t>
      </w:r>
    </w:p>
    <w:p>
      <w:pPr>
        <w:pStyle w:val="Normal"/>
        <w:ind w:firstLine="708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Odluka se objavljuje na Internet stranici Općine Negoslavci najkasnije u roku od 8 dana od dana njezinog donošenja.</w:t>
      </w:r>
    </w:p>
    <w:p>
      <w:pPr>
        <w:pStyle w:val="Normal"/>
        <w:ind w:firstLine="708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Na Odluku o dodjeli potpore Općinskog načelnika može se podnijeti žalba Općinskom vijeću Općine Negoslavci u roku od 8 dana od dana prijema.</w:t>
      </w:r>
    </w:p>
    <w:p>
      <w:pPr>
        <w:pStyle w:val="Normal"/>
        <w:rPr>
          <w:rFonts w:eastAsia="Calibri" w:cs="Calibri"/>
          <w:b/>
          <w:b/>
          <w:bCs/>
          <w:sz w:val="24"/>
          <w:szCs w:val="24"/>
          <w:lang w:val="hr-HR"/>
        </w:rPr>
      </w:pPr>
      <w:r>
        <w:rPr>
          <w:rFonts w:eastAsia="Calibri" w:cs="Calibri"/>
          <w:b/>
          <w:bCs/>
          <w:sz w:val="24"/>
          <w:szCs w:val="24"/>
          <w:lang w:val="hr-HR"/>
        </w:rPr>
      </w:r>
    </w:p>
    <w:p>
      <w:pPr>
        <w:pStyle w:val="Normal"/>
        <w:ind w:firstLine="142"/>
        <w:jc w:val="center"/>
        <w:rPr>
          <w:rFonts w:eastAsia="Calibri" w:cs="Calibri"/>
          <w:b/>
          <w:b/>
          <w:bCs/>
          <w:sz w:val="24"/>
          <w:szCs w:val="24"/>
          <w:lang w:val="hr-HR"/>
        </w:rPr>
      </w:pPr>
      <w:r>
        <w:rPr>
          <w:rFonts w:eastAsia="Calibri" w:cs="Calibri"/>
          <w:b/>
          <w:bCs/>
          <w:sz w:val="24"/>
          <w:szCs w:val="24"/>
          <w:lang w:val="hr-HR"/>
        </w:rPr>
        <w:t>Članak 13.</w:t>
      </w:r>
    </w:p>
    <w:p>
      <w:pPr>
        <w:pStyle w:val="Normal"/>
        <w:ind w:firstLine="708"/>
        <w:jc w:val="both"/>
        <w:rPr>
          <w:rFonts w:eastAsia="Calibri" w:cs="Calibri"/>
          <w:sz w:val="24"/>
          <w:szCs w:val="24"/>
          <w:lang w:val="hr-HR"/>
        </w:rPr>
      </w:pPr>
      <w:bookmarkStart w:id="1" w:name="_Hlk215219330"/>
      <w:r>
        <w:rPr>
          <w:rFonts w:eastAsia="Calibri" w:cs="Calibri"/>
          <w:sz w:val="24"/>
          <w:szCs w:val="24"/>
          <w:lang w:val="hr-HR"/>
        </w:rPr>
        <w:t xml:space="preserve">Korisnik potpore koji primi sredstva iz ovog Programa obvezan je obavljati djelatnost za koju je potpora dodijeljena najmanje dvije (2) godine od dana primitka sredstava. </w:t>
      </w:r>
    </w:p>
    <w:p>
      <w:pPr>
        <w:pStyle w:val="Normal"/>
        <w:ind w:firstLine="708"/>
        <w:jc w:val="both"/>
        <w:rPr>
          <w:rFonts w:eastAsia="Calibri" w:cs="Calibri"/>
          <w:sz w:val="24"/>
          <w:szCs w:val="24"/>
          <w:lang w:val="hr-HR"/>
        </w:rPr>
      </w:pPr>
      <w:bookmarkStart w:id="2" w:name="_Hlk215219330"/>
      <w:r>
        <w:rPr>
          <w:rFonts w:eastAsia="Calibri" w:cs="Calibri"/>
          <w:sz w:val="24"/>
          <w:szCs w:val="24"/>
          <w:lang w:val="hr-HR"/>
        </w:rPr>
        <w:t>Nepoštivanje ove obveze smatra se krivim raskidom ugovora o dodjeli potpore, uz pravo davatelja potpore na povrat dodijeljenih sredstava u skladu s uvjetima iz ugovora i pravilnika.</w:t>
      </w:r>
      <w:bookmarkEnd w:id="2"/>
    </w:p>
    <w:p>
      <w:pPr>
        <w:pStyle w:val="Normal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</w:r>
    </w:p>
    <w:p>
      <w:pPr>
        <w:pStyle w:val="Normal"/>
        <w:jc w:val="center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b/>
          <w:sz w:val="24"/>
          <w:szCs w:val="24"/>
          <w:lang w:val="hr-HR"/>
        </w:rPr>
        <w:t>Članak 14.</w:t>
      </w:r>
    </w:p>
    <w:p>
      <w:pPr>
        <w:pStyle w:val="Normal"/>
        <w:ind w:firstLine="708"/>
        <w:jc w:val="both"/>
        <w:rPr>
          <w:rFonts w:cs="Calibri"/>
          <w:sz w:val="24"/>
          <w:szCs w:val="24"/>
          <w:lang w:val="hr-HR"/>
        </w:rPr>
      </w:pPr>
      <w:bookmarkStart w:id="3" w:name="_Hlk215219346"/>
      <w:r>
        <w:rPr>
          <w:rFonts w:eastAsia="Calibri" w:cs="Calibri"/>
          <w:sz w:val="24"/>
          <w:szCs w:val="24"/>
          <w:lang w:val="hr-HR"/>
        </w:rPr>
        <w:t>Korisnik je obvezan dodijeljena sredstva koristiti isključivo za realizaciju mjere za koju su sredstva dodijeljena.</w:t>
      </w:r>
    </w:p>
    <w:p>
      <w:pPr>
        <w:pStyle w:val="Normal"/>
        <w:ind w:firstLine="708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 xml:space="preserve">Korisnik potpore dužan je omogućiti davatelju potpore kontrolu namjenskog utroška dobivenih sredstava. </w:t>
      </w:r>
    </w:p>
    <w:p>
      <w:pPr>
        <w:pStyle w:val="Normal"/>
        <w:ind w:firstLine="708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 xml:space="preserve">Stručnu i administrativnu kontrolu dodjele potpora provodi Jedinstveni upravni odjel Općine Negoslavci. </w:t>
      </w:r>
    </w:p>
    <w:p>
      <w:pPr>
        <w:pStyle w:val="Normal"/>
        <w:ind w:firstLine="708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>Ukoliko je korisnik potpore priložio neistinitu dokumentaciju ili prijavljeno stanje ne odgovara stvarnom stanju, korisnik dobivena sredstva mora vratiti u proračun Općine Negoslavci, te će biti isključen iz svih potpora Općine Negoslavci u narednih pet (5) godina.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Kao jamstvo za uredno ispunjenje odredbi iz Pravilnika korisnik potpore je prije zaključivanja Ugovora o dodjeli potpore obvezan </w:t>
      </w:r>
      <w:r>
        <w:rPr>
          <w:sz w:val="24"/>
          <w:szCs w:val="24"/>
          <w:lang w:val="hr-HR"/>
        </w:rPr>
        <w:t>Jedinstvenom upravnom odjelu Općine Negoslavci</w:t>
      </w:r>
      <w:r>
        <w:rPr>
          <w:sz w:val="24"/>
          <w:szCs w:val="24"/>
        </w:rPr>
        <w:t xml:space="preserve"> dostaviti solemniziranu bjanko zadužnicu na iznos odobrene potpore.</w:t>
      </w:r>
    </w:p>
    <w:p>
      <w:pPr>
        <w:pStyle w:val="Normal"/>
        <w:jc w:val="both"/>
        <w:rPr>
          <w:sz w:val="24"/>
          <w:szCs w:val="24"/>
        </w:rPr>
      </w:pPr>
      <w:bookmarkStart w:id="4" w:name="_Hlk215219346"/>
      <w:r>
        <w:rPr>
          <w:sz w:val="24"/>
          <w:szCs w:val="24"/>
        </w:rPr>
        <w:tab/>
        <w:t>Korisniku potpore koji je dostavio bjanko zadužnicu kao instrument osiguranja neiskorištena bjanko zadužnica se vraća po proteku 2 godine od dana realiziranja subvencije.</w:t>
      </w:r>
      <w:bookmarkEnd w:id="4"/>
    </w:p>
    <w:p>
      <w:pPr>
        <w:pStyle w:val="Normal"/>
        <w:ind w:firstLine="708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</w:r>
    </w:p>
    <w:p>
      <w:pPr>
        <w:pStyle w:val="Normal"/>
        <w:numPr>
          <w:ilvl w:val="0"/>
          <w:numId w:val="4"/>
        </w:numPr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b/>
          <w:sz w:val="24"/>
          <w:szCs w:val="24"/>
          <w:lang w:val="hr-HR"/>
        </w:rPr>
        <w:t>ZAVRŠNE ODREDBE</w:t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Calibri" w:cs="Calibri"/>
          <w:b/>
          <w:sz w:val="24"/>
          <w:szCs w:val="24"/>
          <w:lang w:val="hr-HR"/>
        </w:rPr>
        <w:t>Članak 15.</w:t>
      </w:r>
    </w:p>
    <w:p>
      <w:pPr>
        <w:pStyle w:val="Normal"/>
        <w:ind w:firstLine="708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iCs/>
          <w:sz w:val="24"/>
          <w:szCs w:val="24"/>
          <w:lang w:val="hr-HR"/>
        </w:rPr>
        <w:t xml:space="preserve">Najviši ukupni iznos potpore iz proračuna Općine Negoslavci za tekuću godinu, kojeg korisnik potpore može ostvariti po svim osnovama ovog Pravilnika je </w:t>
      </w:r>
      <w:r>
        <w:rPr>
          <w:rFonts w:cs="Calibri"/>
          <w:bCs/>
          <w:sz w:val="24"/>
          <w:szCs w:val="24"/>
          <w:lang w:val="hr-HR"/>
        </w:rPr>
        <w:t xml:space="preserve">3.500,00 eura (triipoltisućeeura), </w:t>
      </w:r>
      <w:r>
        <w:rPr>
          <w:rFonts w:cs="Calibri"/>
          <w:sz w:val="24"/>
          <w:szCs w:val="24"/>
          <w:lang w:val="hr-HR"/>
        </w:rPr>
        <w:t>poticaj za isti trošak ili istu jedinicu proizvodnje se može ostvariti samo jednom, a isplaćuje se jednokratno.</w:t>
      </w:r>
    </w:p>
    <w:p>
      <w:pPr>
        <w:pStyle w:val="Normal"/>
        <w:jc w:val="center"/>
        <w:rPr>
          <w:rFonts w:eastAsia="Calibri" w:cs="Calibri"/>
          <w:b/>
          <w:b/>
          <w:sz w:val="24"/>
          <w:szCs w:val="24"/>
          <w:lang w:val="hr-HR"/>
        </w:rPr>
      </w:pPr>
      <w:r>
        <w:rPr>
          <w:rFonts w:eastAsia="Calibri" w:cs="Calibri"/>
          <w:b/>
          <w:sz w:val="24"/>
          <w:szCs w:val="24"/>
          <w:lang w:val="hr-HR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Calibri" w:cs="Calibri"/>
          <w:b/>
          <w:sz w:val="24"/>
          <w:szCs w:val="24"/>
          <w:lang w:val="hr-HR"/>
        </w:rPr>
        <w:t>Članak 16.</w:t>
      </w:r>
    </w:p>
    <w:p>
      <w:pPr>
        <w:pStyle w:val="Normal"/>
        <w:jc w:val="both"/>
        <w:rPr>
          <w:rFonts w:eastAsia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ab/>
      </w:r>
      <w:r>
        <w:rPr>
          <w:rFonts w:eastAsia="Calibri"/>
          <w:sz w:val="24"/>
          <w:szCs w:val="24"/>
          <w:lang w:val="hr-HR"/>
        </w:rPr>
        <w:t>Financijska sredstva za provedbu ovog Pravilnika planirana su u proračunu Općine Negoslavci za 2026. godinu u iznosu od 15.000,00 EUR.</w:t>
      </w:r>
    </w:p>
    <w:p>
      <w:pPr>
        <w:pStyle w:val="Normal"/>
        <w:jc w:val="both"/>
        <w:rPr>
          <w:rFonts w:eastAsia="Calibri"/>
          <w:sz w:val="24"/>
          <w:szCs w:val="24"/>
          <w:lang w:val="hr-HR"/>
        </w:rPr>
      </w:pPr>
      <w:r>
        <w:rPr>
          <w:rFonts w:eastAsia="Calibri"/>
          <w:sz w:val="24"/>
          <w:szCs w:val="24"/>
          <w:lang w:val="hr-HR"/>
        </w:rPr>
      </w:r>
    </w:p>
    <w:p>
      <w:pPr>
        <w:pStyle w:val="Normal"/>
        <w:jc w:val="center"/>
        <w:rPr>
          <w:rFonts w:eastAsia="Calibri" w:cs="Calibri"/>
          <w:b/>
          <w:b/>
          <w:sz w:val="24"/>
          <w:szCs w:val="24"/>
          <w:lang w:val="hr-HR"/>
        </w:rPr>
      </w:pPr>
      <w:r>
        <w:rPr>
          <w:rFonts w:eastAsia="Calibri" w:cs="Calibri"/>
          <w:b/>
          <w:sz w:val="24"/>
          <w:szCs w:val="24"/>
          <w:lang w:val="hr-HR"/>
        </w:rPr>
        <w:t>Članak 17.</w:t>
      </w:r>
    </w:p>
    <w:p>
      <w:pPr>
        <w:pStyle w:val="Normal"/>
        <w:ind w:firstLine="708"/>
        <w:jc w:val="both"/>
        <w:rPr>
          <w:rFonts w:eastAsia="Calibri" w:cs="Calibri"/>
          <w:b/>
          <w:b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Ovaj Pravilnik stupa na snagu osmi dan od dana objave u Službenom glasniku Općine Negoslavci.</w:t>
      </w:r>
    </w:p>
    <w:p>
      <w:pPr>
        <w:pStyle w:val="Normal"/>
        <w:jc w:val="right"/>
        <w:rPr>
          <w:rFonts w:eastAsia="Calibri" w:cs="Calibri"/>
          <w:b/>
          <w:b/>
          <w:sz w:val="24"/>
          <w:szCs w:val="24"/>
          <w:lang w:val="hr-HR"/>
        </w:rPr>
      </w:pPr>
      <w:r>
        <w:rPr>
          <w:rFonts w:eastAsia="Calibri" w:cs="Calibri"/>
          <w:b/>
          <w:sz w:val="24"/>
          <w:szCs w:val="24"/>
          <w:lang w:val="hr-HR"/>
        </w:rPr>
      </w:r>
    </w:p>
    <w:p>
      <w:pPr>
        <w:pStyle w:val="Normal"/>
        <w:jc w:val="right"/>
        <w:rPr>
          <w:rFonts w:eastAsia="Calibri" w:cs="Calibri"/>
          <w:b/>
          <w:b/>
          <w:sz w:val="24"/>
          <w:szCs w:val="24"/>
          <w:lang w:val="hr-HR"/>
        </w:rPr>
      </w:pPr>
      <w:r>
        <w:rPr>
          <w:rFonts w:eastAsia="Calibri" w:cs="Calibri"/>
          <w:b/>
          <w:sz w:val="24"/>
          <w:szCs w:val="24"/>
          <w:lang w:val="hr-HR"/>
        </w:rPr>
      </w:r>
    </w:p>
    <w:p>
      <w:pPr>
        <w:pStyle w:val="Normal"/>
        <w:jc w:val="right"/>
        <w:rPr>
          <w:rFonts w:eastAsia="Calibri" w:cs="Calibri"/>
          <w:b/>
          <w:b/>
          <w:sz w:val="24"/>
          <w:szCs w:val="24"/>
          <w:lang w:val="hr-HR"/>
        </w:rPr>
      </w:pPr>
      <w:r>
        <w:rPr>
          <w:rFonts w:eastAsia="Calibri" w:cs="Calibri"/>
          <w:b/>
          <w:sz w:val="24"/>
          <w:szCs w:val="24"/>
          <w:lang w:val="hr-HR"/>
        </w:rPr>
        <w:t>OPĆINSKI NAČELNIK</w:t>
      </w:r>
    </w:p>
    <w:p>
      <w:pPr>
        <w:pStyle w:val="Normal"/>
        <w:jc w:val="right"/>
        <w:rPr>
          <w:rFonts w:cs="Calibri"/>
          <w:bCs/>
          <w:sz w:val="24"/>
          <w:szCs w:val="24"/>
          <w:lang w:val="hr-HR"/>
        </w:rPr>
      </w:pPr>
      <w:r>
        <w:rPr>
          <w:rFonts w:eastAsia="Calibri" w:cs="Calibri"/>
          <w:bCs/>
          <w:sz w:val="24"/>
          <w:szCs w:val="24"/>
          <w:lang w:val="hr-HR"/>
        </w:rPr>
        <w:t>Dušan Jeckov</w:t>
      </w:r>
    </w:p>
    <w:p>
      <w:pPr>
        <w:pStyle w:val="Normal"/>
        <w:jc w:val="right"/>
        <w:rPr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 xml:space="preserve"> </w:t>
      </w:r>
    </w:p>
    <w:sectPr>
      <w:footerReference w:type="default" r:id="rId3"/>
      <w:type w:val="nextPage"/>
      <w:pgSz w:w="11906" w:h="16838"/>
      <w:pgMar w:left="1440" w:right="1440" w:gutter="0" w:header="0" w:top="1440" w:footer="1440" w:bottom="195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odnoje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hr-H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8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  <w:sz w:val="22"/>
        <w:szCs w:val="22"/>
        <w:lang w:val="hr-H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637b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en-AU" w:eastAsia="ar-SA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Hyperlink"/>
    <w:rsid w:val="008637b5"/>
    <w:rPr>
      <w:color w:val="000080"/>
      <w:u w:val="single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133603"/>
    <w:pPr>
      <w:spacing w:before="0" w:after="0"/>
      <w:ind w:left="720" w:hanging="0"/>
      <w:contextualSpacing/>
    </w:pPr>
    <w:rPr/>
  </w:style>
  <w:style w:type="paragraph" w:styleId="Zaglavljeipodnoje">
    <w:name w:val="Zaglavlje i podnožj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Podnoje">
    <w:name w:val="Footer"/>
    <w:basedOn w:val="Zaglavljeipodnoje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pcina-zakanje.hr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Application>LibreOffice/7.4.1.2$Windows_X86_64 LibreOffice_project/3c58a8f3a960df8bc8fd77b461821e42c061c5f0</Application>
  <AppVersion>15.0000</AppVersion>
  <Pages>4</Pages>
  <Words>1114</Words>
  <Characters>6862</Characters>
  <CharactersWithSpaces>7907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2024-01-12T11:54:00Z</dcterms:created>
  <dc:creator>Korisnik</dc:creator>
  <dc:description/>
  <dc:language>hr-HR</dc:language>
  <cp:lastModifiedBy/>
  <cp:lastPrinted>2025-11-05T10:44:00Z</cp:lastPrinted>
  <dcterms:modified xsi:type="dcterms:W3CDTF">2026-01-16T13:52:37Z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