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ab/>
        <w:tab/>
      </w:r>
      <w:r>
        <w:rPr/>
        <w:drawing>
          <wp:inline distT="0" distB="0" distL="0" distR="0">
            <wp:extent cx="475615" cy="59753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>REPUBLIKA HRVATSKA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>VUKOVARSKO-SRIJEMSKA ŽUPANIJA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>OPĆINA NEGOSLAVCI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>Općinsko vijeće</w:t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>
          <w:rFonts w:eastAsia="Calibri" w:cs="Times New Roman" w:ascii="Times New Roman" w:hAnsi="Times New Roman"/>
          <w:b/>
          <w:color w:val="000000"/>
        </w:rPr>
        <w:t>KLASA:</w:t>
      </w:r>
      <w:r>
        <w:rPr>
          <w:rFonts w:eastAsia="Calibri" w:cs="Times New Roman" w:ascii="Times New Roman" w:hAnsi="Times New Roman"/>
          <w:color w:val="000000"/>
        </w:rPr>
        <w:t xml:space="preserve"> 400-02/25-01/01</w:t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>
          <w:rFonts w:eastAsia="Calibri" w:cs="Times New Roman" w:ascii="Times New Roman" w:hAnsi="Times New Roman"/>
          <w:b/>
          <w:color w:val="000000"/>
        </w:rPr>
        <w:t>URBROJ:</w:t>
      </w:r>
      <w:r>
        <w:rPr>
          <w:rFonts w:eastAsia="Calibri" w:cs="Times New Roman" w:ascii="Times New Roman" w:hAnsi="Times New Roman"/>
          <w:color w:val="000000"/>
        </w:rPr>
        <w:t xml:space="preserve"> 2196-19-02-25-24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lang w:eastAsia="hr-HR"/>
        </w:rPr>
        <w:t>Negoslavci,</w:t>
      </w:r>
      <w:r>
        <w:rPr>
          <w:rFonts w:eastAsia="Times New Roman" w:cs="Times New Roman" w:ascii="Times New Roman" w:hAnsi="Times New Roman"/>
          <w:color w:val="000000"/>
          <w:lang w:eastAsia="hr-HR"/>
        </w:rPr>
        <w:t xml:space="preserve"> 23. prosinca 2025.</w:t>
      </w:r>
    </w:p>
    <w:p>
      <w:pPr>
        <w:pStyle w:val="Normal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lang w:eastAsia="hr-HR"/>
        </w:rPr>
        <w:tab/>
      </w:r>
      <w:r>
        <w:rPr>
          <w:rFonts w:eastAsia="Andale Sans UI" w:cs="Times New Roman" w:ascii="Times New Roman" w:hAnsi="Times New Roman"/>
          <w:lang w:val="pl-PL"/>
        </w:rPr>
        <w:t>Na</w:t>
      </w:r>
      <w:r>
        <w:rPr>
          <w:rFonts w:eastAsia="Andale Sans UI" w:cs="Times New Roman" w:ascii="Times New Roman" w:hAnsi="Times New Roman"/>
        </w:rPr>
        <w:t xml:space="preserve"> </w:t>
      </w:r>
      <w:r>
        <w:rPr>
          <w:rFonts w:eastAsia="Andale Sans UI" w:cs="Times New Roman" w:ascii="Times New Roman" w:hAnsi="Times New Roman"/>
          <w:lang w:val="pl-PL"/>
        </w:rPr>
        <w:t>temelju</w:t>
      </w:r>
      <w:r>
        <w:rPr>
          <w:rFonts w:eastAsia="Andale Sans UI" w:cs="Times New Roman" w:ascii="Times New Roman" w:hAnsi="Times New Roman"/>
        </w:rPr>
        <w:t xml:space="preserve"> članka</w:t>
      </w:r>
      <w:r>
        <w:rPr>
          <w:rFonts w:eastAsia="Times New Roman" w:cs="Times New Roman" w:ascii="Times New Roman" w:hAnsi="Times New Roman"/>
          <w:lang w:eastAsia="hr-HR"/>
        </w:rPr>
        <w:t xml:space="preserve"> 19., točke 2. Statuta Općine Negoslavci („Službeni glasnik Općine Negoslavci” broj 4/25), Općinsko vijeće Općine Negoslavci na svojoj redovnoj sjednici održanoj </w:t>
      </w:r>
      <w:r>
        <w:rPr>
          <w:rFonts w:eastAsia="Times New Roman" w:cs="Times New Roman" w:ascii="Times New Roman" w:hAnsi="Times New Roman"/>
          <w:color w:val="000000"/>
          <w:lang w:eastAsia="hr-HR"/>
        </w:rPr>
        <w:t>dana 23.12.2025. godin</w:t>
      </w:r>
      <w:r>
        <w:rPr>
          <w:rFonts w:eastAsia="Times New Roman" w:cs="Times New Roman" w:ascii="Times New Roman" w:hAnsi="Times New Roman"/>
          <w:lang w:eastAsia="hr-HR"/>
        </w:rPr>
        <w:t>e donosi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lang w:eastAsia="hr-HR"/>
        </w:rPr>
      </w:pPr>
      <w:r>
        <w:rPr>
          <w:rFonts w:eastAsia="Times New Roman" w:cs="Times New Roman" w:ascii="Times New Roman" w:hAnsi="Times New Roman"/>
          <w:b/>
          <w:lang w:eastAsia="hr-HR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</w:rPr>
      </w:pPr>
      <w:bookmarkStart w:id="0" w:name="_Toc62727863"/>
      <w:r>
        <w:rPr>
          <w:rFonts w:eastAsia="Times New Roman" w:cs="Times New Roman" w:ascii="Times New Roman" w:hAnsi="Times New Roman"/>
          <w:b/>
          <w:lang w:eastAsia="hr-HR"/>
        </w:rPr>
        <w:t>Program Zaželi – Negoslavci  faza IV za 2026. godinu</w:t>
      </w:r>
      <w:bookmarkEnd w:id="0"/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lang w:eastAsia="hr-HR"/>
        </w:rPr>
      </w:pPr>
      <w:r>
        <w:rPr>
          <w:rFonts w:eastAsia="Times New Roman" w:cs="Times New Roman" w:ascii="Times New Roman" w:hAnsi="Times New Roman"/>
          <w:b/>
          <w:lang w:eastAsia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lang w:eastAsia="hr-HR"/>
        </w:rPr>
        <w:t>I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lang w:eastAsia="hr-HR"/>
        </w:rPr>
        <w:tab/>
        <w:t xml:space="preserve">Projekt </w:t>
      </w:r>
      <w:r>
        <w:rPr>
          <w:rFonts w:eastAsia="Times New Roman" w:cs="Times New Roman" w:ascii="Times New Roman" w:hAnsi="Times New Roman"/>
          <w:b/>
          <w:lang w:eastAsia="hr-HR"/>
        </w:rPr>
        <w:t xml:space="preserve"> </w:t>
      </w:r>
      <w:r>
        <w:rPr>
          <w:rFonts w:eastAsia="Times New Roman" w:cs="Times New Roman" w:ascii="Times New Roman" w:hAnsi="Times New Roman"/>
          <w:bCs/>
          <w:lang w:eastAsia="hr-HR"/>
        </w:rPr>
        <w:t>Zaželi – Negoslavci  faza IV</w:t>
      </w:r>
      <w:r>
        <w:rPr>
          <w:rFonts w:eastAsia="Times New Roman" w:cs="Times New Roman" w:ascii="Times New Roman" w:hAnsi="Times New Roman"/>
          <w:lang w:eastAsia="hr-HR"/>
        </w:rPr>
        <w:t xml:space="preserve"> u skladu je s europskim i nacionalnim preporukama o unapređenju položaja žena na tržištu rada i zaštite prava žena. U skladu je i sa smjernicama politika zapošljavanja država članica EU s naglaskom na promicanje socijalne uključenosti i suzbijanja siromaštva, pogotovo uzevši u obzir da će se kao sudionice ovih aktivnosti uključivati žene koje su u nepovoljnom položaju na tržištu rada, a koje će skrbiti o starijim osobama i osobama u nepovoljnom položaju. </w:t>
      </w:r>
    </w:p>
    <w:p>
      <w:pPr>
        <w:pStyle w:val="Normal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lang w:val="en-AU" w:eastAsia="hr-HR"/>
        </w:rPr>
        <w:t>II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lang w:val="en-AU" w:eastAsia="hr-HR"/>
        </w:rPr>
        <w:tab/>
      </w:r>
      <w:r>
        <w:rPr>
          <w:rFonts w:eastAsia="Times New Roman" w:cs="Times New Roman" w:ascii="Times New Roman" w:hAnsi="Times New Roman"/>
          <w:lang w:eastAsia="hr-HR"/>
        </w:rPr>
        <w:t xml:space="preserve">Sukladno točki I Program </w:t>
      </w:r>
      <w:r>
        <w:rPr>
          <w:rFonts w:eastAsia="Times New Roman" w:cs="Times New Roman" w:ascii="Times New Roman" w:hAnsi="Times New Roman"/>
          <w:bCs/>
          <w:lang w:eastAsia="hr-HR"/>
        </w:rPr>
        <w:t>Zaželi – Negoslavci  faza IV</w:t>
      </w:r>
      <w:r>
        <w:rPr>
          <w:rFonts w:eastAsia="Times New Roman" w:cs="Times New Roman" w:ascii="Times New Roman" w:hAnsi="Times New Roman"/>
          <w:lang w:eastAsia="hr-HR"/>
        </w:rPr>
        <w:t xml:space="preserve"> obuhvaća sljedeće aktivnosti:</w:t>
      </w:r>
    </w:p>
    <w:p>
      <w:pPr>
        <w:pStyle w:val="Normal"/>
        <w:tabs>
          <w:tab w:val="clear" w:pos="709"/>
          <w:tab w:val="center" w:pos="9225" w:leader="none"/>
        </w:tabs>
        <w:spacing w:before="0" w:after="0"/>
        <w:ind w:left="720" w:hanging="0"/>
        <w:contextualSpacing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</w:rPr>
        <w:t xml:space="preserve">Rashode za zaposlene                                                           </w:t>
      </w:r>
      <w:r>
        <w:rPr>
          <w:rFonts w:eastAsia="Times New Roman" w:cs="Times New Roman" w:ascii="Times New Roman" w:hAnsi="Times New Roman"/>
          <w:color w:val="C9211E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 205.000,00 EUR</w:t>
      </w:r>
    </w:p>
    <w:p>
      <w:pPr>
        <w:pStyle w:val="Normal"/>
        <w:tabs>
          <w:tab w:val="clear" w:pos="709"/>
          <w:tab w:val="center" w:pos="9084" w:leader="none"/>
        </w:tabs>
        <w:spacing w:lineRule="auto" w:line="252" w:before="0" w:after="160"/>
        <w:ind w:left="720" w:hanging="0"/>
        <w:contextualSpacing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Materijalni rashodi                                                                    55.000,00 EUR                                                                                                                      </w:t>
      </w:r>
    </w:p>
    <w:p>
      <w:pPr>
        <w:pStyle w:val="Normal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  <w:t xml:space="preserve">            </w:t>
      </w:r>
      <w:r>
        <w:rPr>
          <w:rFonts w:eastAsia="Times New Roman" w:cs="Times New Roman" w:ascii="Times New Roman" w:hAnsi="Times New Roman"/>
          <w:b/>
          <w:bCs/>
          <w:color w:val="000000"/>
        </w:rPr>
        <w:t>UKUPNO:                                                                              260.000,00 EUR .</w:t>
      </w:r>
    </w:p>
    <w:p>
      <w:pPr>
        <w:pStyle w:val="Normal"/>
        <w:tabs>
          <w:tab w:val="clear" w:pos="709"/>
          <w:tab w:val="center" w:pos="9084" w:leader="none"/>
        </w:tabs>
        <w:spacing w:lineRule="auto" w:line="252" w:before="0" w:after="160"/>
        <w:ind w:left="720" w:hanging="0"/>
        <w:contextualSpacing/>
        <w:rPr>
          <w:rFonts w:ascii="Times New Roman" w:hAnsi="Times New Roman" w:eastAsia="Times New Roman" w:cs="Times New Roman"/>
          <w:b/>
          <w:b/>
          <w:bCs/>
          <w:color w:val="C9211E"/>
        </w:rPr>
      </w:pPr>
      <w:r>
        <w:rPr>
          <w:rFonts w:eastAsia="Times New Roman" w:cs="Times New Roman" w:ascii="Times New Roman" w:hAnsi="Times New Roman"/>
          <w:b/>
          <w:bCs/>
          <w:color w:val="C9211E"/>
        </w:rPr>
      </w:r>
    </w:p>
    <w:p>
      <w:pPr>
        <w:pStyle w:val="Normal"/>
        <w:tabs>
          <w:tab w:val="clear" w:pos="709"/>
          <w:tab w:val="center" w:pos="9084" w:leader="none"/>
        </w:tabs>
        <w:spacing w:lineRule="auto" w:line="252" w:before="0" w:after="160"/>
        <w:ind w:left="720" w:hanging="0"/>
        <w:contextualSpacing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lang w:val="en-AU" w:eastAsia="hr-HR"/>
        </w:rPr>
        <w:t>III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lang w:val="en-AU" w:eastAsia="hr-HR"/>
        </w:rPr>
        <w:tab/>
      </w:r>
      <w:r>
        <w:rPr>
          <w:rFonts w:eastAsia="Calibri" w:cs="Times New Roman" w:ascii="Times New Roman" w:hAnsi="Times New Roman"/>
        </w:rPr>
        <w:t>Ovaj Program stupa na snagu dan nakon dana objave u Službenom glasniku Općine Negoslavci, a primjenjuje se od 01.01.2026. godine.</w:t>
      </w:r>
    </w:p>
    <w:p>
      <w:pPr>
        <w:pStyle w:val="Normal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lang w:eastAsia="hr-HR"/>
        </w:rPr>
        <w:t>PREDSJEDNIK OPĆINSKOG VIJEĆA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lang w:eastAsia="hr-HR"/>
        </w:rPr>
        <w:t>Miodrag Mišanović</w:t>
      </w:r>
    </w:p>
    <w:p>
      <w:pPr>
        <w:pStyle w:val="Normal"/>
        <w:jc w:val="right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LibreOffice/7.4.1.2$Windows_X86_64 LibreOffice_project/3c58a8f3a960df8bc8fd77b461821e42c061c5f0</Application>
  <AppVersion>15.0000</AppVersion>
  <Pages>1</Pages>
  <Words>181</Words>
  <Characters>1099</Characters>
  <CharactersWithSpaces>1608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2024-01-11T11:48:00Z</dcterms:created>
  <dc:creator/>
  <dc:description/>
  <dc:language>hr-HR</dc:language>
  <cp:lastModifiedBy/>
  <dcterms:modified xsi:type="dcterms:W3CDTF">2026-01-15T11:15:58Z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