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KL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ASA: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400-02/25-01/01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2196-19-01-25-14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 w:val="22"/>
          <w:szCs w:val="22"/>
          <w:lang w:val="hr-HR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  <w:t xml:space="preserve">Na temelju članka 32., stavka 2., točke 1. Statuta Općine Negoslavci („Službeni glasnik Općine Negoslavci” broj 4/25), Općinsko vijeće Općine Negoslavci dana 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23.12.2025. godine donosi</w:t>
      </w:r>
    </w:p>
    <w:p>
      <w:pPr>
        <w:pStyle w:val="Normal"/>
        <w:bidi w:val="0"/>
        <w:jc w:val="left"/>
        <w:rPr>
          <w:rFonts w:ascii="Times New Roman" w:hAnsi="Times New Roman" w:eastAsia="Calibri" w:cs="Times New Roman"/>
          <w:sz w:val="22"/>
          <w:szCs w:val="22"/>
          <w:lang w:val="hr-HR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P</w:t>
      </w:r>
      <w:bookmarkStart w:id="0" w:name="_Toc62727867"/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rogram financiranja udruga i općedruštvenih djelatnosti na području Općine Negoslavci za 2026. godinu</w:t>
      </w:r>
      <w:bookmarkEnd w:id="0"/>
    </w:p>
    <w:p>
      <w:pPr>
        <w:pStyle w:val="Normal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I</w:t>
      </w:r>
    </w:p>
    <w:p>
      <w:pPr>
        <w:pStyle w:val="Normal"/>
        <w:widowControl w:val="false"/>
        <w:suppressAutoHyphens w:val="true"/>
        <w:bidi w:val="0"/>
        <w:spacing w:before="0" w:after="1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ab/>
      </w:r>
      <w:r>
        <w:rPr>
          <w:rFonts w:eastAsia="Andale Sans UI" w:cs="Times New Roman" w:ascii="Times New Roman" w:hAnsi="Times New Roman"/>
          <w:kern w:val="2"/>
          <w:sz w:val="22"/>
          <w:szCs w:val="22"/>
          <w:lang w:val="hr-HR" w:eastAsia="zh-CN"/>
        </w:rPr>
        <w:t>Temeljem odredaba ovoga Programa, iz proračuna Općine Negoslavci u 2026. godini financirat će se  udruge i ostali subjekti koji se općedruštvenim djelatnostima bave kao svojom osnovnom djelatnošću na području Općine Negoslavci, imaju korisnike sa područja Općine Negoslavci ili imaju sjedište na području Općine Negoslavci.</w:t>
      </w:r>
    </w:p>
    <w:p>
      <w:pPr>
        <w:pStyle w:val="Normal"/>
        <w:bidi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II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  <w:tab/>
        <w:t>Sredstva osigurana u Proračunu Općine Negoslavci za 2025. godinu raspodijelit će se udrugama i zajednicama od posebnog interesa, kako slijedi: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Zajedničko vijeće općina </w:t>
        <w:tab/>
        <w:tab/>
        <w:tab/>
        <w:tab/>
        <w:tab/>
        <w:t xml:space="preserve">            5.500,00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Vjerske zajednice (pomoć u radu) </w:t>
        <w:tab/>
        <w:t xml:space="preserve">   </w:t>
        <w:tab/>
        <w:t xml:space="preserve">                  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lang w:val="hr-HR"/>
        </w:rPr>
        <w:t xml:space="preserve">    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hr-HR"/>
        </w:rPr>
        <w:t xml:space="preserve"> 2.700,00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Kulturne manifestacije na području općine </w:t>
        <w:tab/>
        <w:tab/>
        <w:tab/>
        <w:t xml:space="preserve">            4.000,00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LAG Srijem</w:t>
        <w:tab/>
        <w:tab/>
        <w:tab/>
        <w:tab/>
        <w:tab/>
        <w:t xml:space="preserve">            2.000,00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nacionalnim manjinama</w:t>
        <w:tab/>
        <w:tab/>
        <w:tab/>
        <w:t xml:space="preserve">            6.000,00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Glas potrošača</w:t>
        <w:tab/>
        <w:tab/>
        <w:tab/>
        <w:tab/>
        <w:tab/>
        <w:t xml:space="preserve">               265,00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za U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pl-PL" w:eastAsia="zh-CN"/>
        </w:rPr>
        <w:t xml:space="preserve">druge na osnovu javnog poziva  </w:t>
        <w:tab/>
        <w:t xml:space="preserve">                       129.000,</w:t>
      </w:r>
      <w:r>
        <w:rPr>
          <w:rFonts w:eastAsia="Andale Sans UI" w:cs="Times New Roman" w:ascii="Times New Roman" w:hAnsi="Times New Roman"/>
          <w:color w:val="000000"/>
          <w:kern w:val="2"/>
          <w:sz w:val="22"/>
          <w:szCs w:val="22"/>
          <w:lang w:val="hr-HR" w:eastAsia="zh-CN"/>
        </w:rPr>
        <w:t>00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donacija ostalim neprofitnim organizacijama</w:t>
        <w:tab/>
        <w:t xml:space="preserve">                         2.000,00 EUR</w:t>
      </w:r>
    </w:p>
    <w:p>
      <w:pPr>
        <w:pStyle w:val="Normal"/>
        <w:numPr>
          <w:ilvl w:val="0"/>
          <w:numId w:val="0"/>
        </w:numPr>
        <w:bidi w:val="0"/>
        <w:spacing w:before="0" w:after="0"/>
        <w:ind w:left="720" w:hanging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 xml:space="preserve">UKUPNO: </w:t>
        <w:tab/>
        <w:tab/>
        <w:tab/>
        <w:tab/>
        <w:tab/>
        <w:tab/>
        <w:t xml:space="preserve">                    151.465,00 EUR</w:t>
      </w:r>
    </w:p>
    <w:p>
      <w:pPr>
        <w:pStyle w:val="Normal"/>
        <w:bidi w:val="0"/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III</w:t>
      </w:r>
    </w:p>
    <w:p>
      <w:pPr>
        <w:pStyle w:val="Normal"/>
        <w:bidi w:val="0"/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ab/>
      </w:r>
      <w:r>
        <w:rPr>
          <w:rFonts w:eastAsia="Calibri" w:cs="Times New Roman" w:ascii="Times New Roman" w:hAnsi="Times New Roman"/>
          <w:sz w:val="22"/>
          <w:szCs w:val="22"/>
          <w:lang w:val="hr-HR"/>
        </w:rPr>
        <w:t>Općina Negoslavci sufinancirat će osim djelatnosti iz članka I. ovog Programa i rad ostalih udruga iz područja zdravstva i dr. sukladno mogućnostima Proračuna.</w:t>
      </w:r>
    </w:p>
    <w:p>
      <w:pPr>
        <w:pStyle w:val="Normal"/>
        <w:widowControl w:val="false"/>
        <w:suppressAutoHyphens w:val="true"/>
        <w:bidi w:val="0"/>
        <w:spacing w:before="0" w:after="120"/>
        <w:ind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 w:val="22"/>
          <w:szCs w:val="22"/>
          <w:lang w:val="hr-HR" w:eastAsia="zh-CN"/>
        </w:rPr>
        <w:t>Korisnici proračunskih sredstava nabrojani u točki II. financirat će se u mjesečnim ili kvartalnim obrocima, ukoliko ovakav način financiranja bude dozvoljavao priliv sredstava u proračun Općine Negoslavci.</w:t>
      </w:r>
    </w:p>
    <w:p>
      <w:pPr>
        <w:pStyle w:val="Normal"/>
        <w:widowControl w:val="false"/>
        <w:suppressAutoHyphens w:val="true"/>
        <w:bidi w:val="0"/>
        <w:spacing w:before="0" w:after="12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 w:val="22"/>
          <w:szCs w:val="22"/>
          <w:lang w:val="hr-HR" w:eastAsia="zh-CN"/>
        </w:rPr>
        <w:t>IV</w:t>
      </w:r>
    </w:p>
    <w:p>
      <w:pPr>
        <w:pStyle w:val="Normal"/>
        <w:widowControl w:val="false"/>
        <w:suppressAutoHyphens w:val="true"/>
        <w:bidi w:val="0"/>
        <w:spacing w:before="0" w:after="120"/>
        <w:ind w:firstLine="708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2"/>
          <w:szCs w:val="22"/>
          <w:lang w:val="en-AU" w:eastAsia="hr-HR"/>
        </w:rPr>
        <w:t>Provedbene odluke u cilju realizacije ovog Programa donijet će Općinski načelnik.</w:t>
      </w:r>
    </w:p>
    <w:p>
      <w:pPr>
        <w:pStyle w:val="Normal"/>
        <w:widowControl w:val="false"/>
        <w:suppressAutoHyphens w:val="true"/>
        <w:bidi w:val="0"/>
        <w:spacing w:before="0" w:after="12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  <w:kern w:val="2"/>
          <w:sz w:val="22"/>
          <w:szCs w:val="22"/>
          <w:lang w:val="hr-HR" w:eastAsia="zh-CN"/>
        </w:rPr>
        <w:t>V</w:t>
      </w:r>
    </w:p>
    <w:p>
      <w:pPr>
        <w:pStyle w:val="Normal"/>
        <w:widowControl w:val="false"/>
        <w:suppressAutoHyphens w:val="true"/>
        <w:bidi w:val="0"/>
        <w:spacing w:before="0" w:after="12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 w:val="22"/>
          <w:szCs w:val="22"/>
          <w:lang w:val="hr-HR"/>
        </w:rPr>
        <w:t>Zajednice i udruge iz članka I obvezuju se dostaviti izvješće o utrošku sredstava doznačenih po ovom Programu najkasnije do 31. ožujka 2026. godine.</w:t>
      </w:r>
    </w:p>
    <w:p>
      <w:pPr>
        <w:pStyle w:val="Normal"/>
        <w:bidi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VI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 w:themeColor="text1"/>
          <w:sz w:val="22"/>
          <w:szCs w:val="22"/>
          <w:lang w:val="hr-HR"/>
        </w:rPr>
        <w:t>Ovaj Program stupa na snagu dan nakon dana objave u Službenom glasniku Općine Negoslavci, a primjenjuje se od 01.01.2026. godine.</w:t>
      </w:r>
    </w:p>
    <w:p>
      <w:pPr>
        <w:pStyle w:val="Normal"/>
        <w:bidi w:val="0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 w:val="22"/>
          <w:szCs w:val="22"/>
          <w:lang w:val="hr-HR"/>
        </w:rPr>
        <w:t>PREDSJEDNIK OPĆINSKOG VIJEĆA</w:t>
      </w:r>
    </w:p>
    <w:p>
      <w:pPr>
        <w:pStyle w:val="Normal"/>
        <w:bidi w:val="0"/>
        <w:spacing w:before="0" w:after="0"/>
        <w:contextualSpacing/>
        <w:jc w:val="right"/>
        <w:rPr>
          <w:rFonts w:ascii="Times New Roman" w:hAnsi="Times New Roman"/>
        </w:rPr>
      </w:pPr>
      <w:bookmarkStart w:id="1" w:name="_GoBack"/>
      <w:bookmarkEnd w:id="1"/>
      <w:r>
        <w:rPr>
          <w:rFonts w:eastAsia="Calibri" w:cs="Times New Roman" w:ascii="Times New Roman" w:hAnsi="Times New Roman"/>
          <w:sz w:val="22"/>
          <w:szCs w:val="22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LibreOffice/7.4.1.2$Windows_X86_64 LibreOffice_project/3c58a8f3a960df8bc8fd77b461821e42c061c5f0</Application>
  <AppVersion>15.0000</AppVersion>
  <Pages>1</Pages>
  <Words>298</Words>
  <Characters>1857</Characters>
  <CharactersWithSpaces>2319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2025-12-31T11:05:42Z</dcterms:created>
  <dc:creator/>
  <dc:description/>
  <dc:language>hr-HR</dc:language>
  <cp:lastModifiedBy/>
  <dcterms:modified xsi:type="dcterms:W3CDTF">2026-01-30T13:07:14Z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