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REPUBLIKA HRVATSKA</w:t>
        <w:br/>
        <w:t>VUKOVARSKO-SRIJEMSKA ŽUPANIJA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OPĆINA NEGOSLAVCI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Općinsko vijeće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hr-HR"/>
        </w:rPr>
        <w:t xml:space="preserve">KLASA: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400-04/26-01/02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 w:val="false"/>
          <w:color w:val="000000"/>
          <w:lang w:val="hr-HR"/>
        </w:rPr>
        <w:t>URBROJ: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 2196-19-02-26-03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Negoslavci, </w:t>
      </w:r>
      <w:r>
        <w:rPr>
          <w:rFonts w:ascii="Times New Roman" w:hAnsi="Times New Roman"/>
          <w:b w:val="false"/>
          <w:bCs w:val="false"/>
          <w:color w:val="000000"/>
        </w:rPr>
        <w:t xml:space="preserve">26. ožujak 2026. 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bidi w:val="0"/>
        <w:spacing w:before="12" w:after="0"/>
        <w:ind w:left="0" w:right="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OBRAZLOŽENJE GODIŠNJEG IZVJEŠTAJA O IZVRŠENJU PRORAČUNA OPĆINE NEGOSLAVCI ZA 2025. GODINU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Osim Općeg i posebnog dijela, sastavni dio godišnjeg izvještaja o izvršenju proračuna Općine Negoslavci za 2025 su: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before="12" w:after="0"/>
        <w:ind w:left="-142" w:right="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OBRAZLOŽENJE GODIŠNJEG IZVJEŠTAJA O IZVRŠENJU PRORAČUNA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bidi w:val="0"/>
        <w:ind w:left="-142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Obrazloženje godišnjeg izvještaja o izvršenju proračuna se sastoji od: 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142" w:right="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Obrazloženja Općeg dijela izvještaja o izvršenju proračuna koji sadrži: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Obrazloženje ostvarenih prihoda i rashoda, primitaka i izdataka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Prikaz manjka, odnosno viška proračuna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Stanje novčanih sredstava na računu proračuna i proračunskih korisnika 01.01.2025.  i 31.12.2025. godine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Prihodi i primici/ rashodi i izdaci ostvareni preuzimanjem nefinancijske imovine i financijske imovine u naplati potraživanja javnih davanja</w:t>
      </w:r>
    </w:p>
    <w:p>
      <w:pPr>
        <w:pStyle w:val="Normal"/>
        <w:widowControl w:val="false"/>
        <w:tabs>
          <w:tab w:val="clear" w:pos="709"/>
          <w:tab w:val="left" w:pos="1146" w:leader="none"/>
        </w:tabs>
        <w:bidi w:val="0"/>
        <w:ind w:left="720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 w:before="0" w:after="200"/>
        <w:ind w:left="142" w:right="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Obrazloženja Posebnog dijela izvještaja o izvršenju proračuna koji sadrži: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before="12" w:after="0"/>
        <w:ind w:left="-142" w:right="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POSEBNI IZVJEŠTAJI U GODIŠNJEM IZVJEŠTAJU O IZVRŠENJU PRORAČUNA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bidi w:val="0"/>
        <w:ind w:left="-142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Posebni izvještaji sadrže:</w:t>
      </w:r>
    </w:p>
    <w:p>
      <w:pPr>
        <w:pStyle w:val="Normal"/>
        <w:widowControl w:val="false"/>
        <w:numPr>
          <w:ilvl w:val="0"/>
          <w:numId w:val="5"/>
        </w:numPr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korištenju proračunske zalihe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zaduživanju na domaćem i stranom tržištu novca i kapitala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danim jamstvima i plaćanjima po protestiranim jamstvima</w:t>
      </w:r>
    </w:p>
    <w:p>
      <w:pPr>
        <w:pStyle w:val="Normal"/>
        <w:widowControl w:val="false"/>
        <w:numPr>
          <w:ilvl w:val="0"/>
          <w:numId w:val="5"/>
        </w:numPr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korištenju sredstava EU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danim zajmovima i potraživanjima po danim zajmovima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stanju potraživanja i dospjelih obveza te o stanju potencijalnih obveza po osnovi sudskih sporova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izvršenim preraspodjelama proračunskih sredstava u Proračunu  Općine Negoslavci za 2025. godinu</w:t>
      </w:r>
    </w:p>
    <w:p>
      <w:pPr>
        <w:pStyle w:val="Normal"/>
        <w:widowControl w:val="false"/>
        <w:tabs>
          <w:tab w:val="clear" w:pos="709"/>
          <w:tab w:val="left" w:pos="-141" w:leader="none"/>
          <w:tab w:val="center" w:pos="4536" w:leader="none"/>
        </w:tabs>
        <w:bidi w:val="0"/>
        <w:spacing w:before="173" w:after="0"/>
        <w:ind w:left="-567" w:right="39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Članak 3.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 dio i posebni dio Polugodišnjeg izvještaja o izvršenju proračuna objaviti će se u </w:t>
      </w:r>
      <w:r>
        <w:rPr>
          <w:rFonts w:ascii="Times New Roman" w:hAnsi="Times New Roman"/>
        </w:rPr>
        <w:t>„Službenom vjesniku“ Vukovarsko- srijemske županije.</w:t>
      </w:r>
    </w:p>
    <w:p>
      <w:pPr>
        <w:pStyle w:val="Normal"/>
        <w:bidi w:val="0"/>
        <w:spacing w:before="0" w:after="120"/>
        <w:ind w:left="-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Godišnji izvještaj o izvršenju Proračuna Općine Negoslavci za 2025. g. u cijelosti će se objaviti na mrežnim stranicama Općine Negoslavci.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284" w:leader="none"/>
        </w:tabs>
        <w:bidi w:val="0"/>
        <w:spacing w:before="12" w:after="0"/>
        <w:ind w:left="-142" w:right="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36"/>
        </w:rPr>
        <w:t>OBRAZLOŽENJE GODIŠNJEG IZVJEŠTAJA O IZVRŠENJU PRORAČUNA OPĆINE NEGOSLAVCI ZA 2025. G.</w:t>
      </w:r>
    </w:p>
    <w:p>
      <w:pPr>
        <w:pStyle w:val="Normal"/>
        <w:widowControl w:val="false"/>
        <w:numPr>
          <w:ilvl w:val="0"/>
          <w:numId w:val="7"/>
        </w:numPr>
        <w:bidi w:val="0"/>
        <w:ind w:left="284" w:right="393" w:hanging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8"/>
        </w:rPr>
        <w:t>OBRAZLOŽENJE OPĆEG DIJELA IZVJEŠTAJA</w:t>
      </w:r>
    </w:p>
    <w:p>
      <w:pPr>
        <w:pStyle w:val="Normal"/>
        <w:widowControl w:val="false"/>
        <w:numPr>
          <w:ilvl w:val="0"/>
          <w:numId w:val="8"/>
        </w:numPr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>Obrazloženje ostvarenih prihoda i rashoda, primitaka i izdataka</w:t>
      </w:r>
    </w:p>
    <w:p>
      <w:pPr>
        <w:pStyle w:val="Normal"/>
        <w:bidi w:val="0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PRIHODI/ PRIMICI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Ukupni prihodi i primici u 2025. godini realizirani su u iznosu 1.048.774,94 €. U nastavku  dajemo obrazloženje ostvarenja.</w:t>
      </w:r>
    </w:p>
    <w:p>
      <w:pPr>
        <w:pStyle w:val="Normal"/>
        <w:numPr>
          <w:ilvl w:val="0"/>
          <w:numId w:val="9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Prihodi poslovanja</w:t>
      </w:r>
      <w:r>
        <w:rPr>
          <w:rFonts w:ascii="Times New Roman" w:hAnsi="Times New Roman"/>
        </w:rPr>
        <w:t xml:space="preserve"> (Razred 6) veći su za 0,52% u odnosu na isto izvještajno razdoblje prošle godine. Realizirani prihodi unutar ovog razreda uključuju slijedeće: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0"/>
        </w:numPr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poreza (skupina 61) veći su 0,52 % u odnosu na isto razdoblje prošle godine, odnosno za 5.433,78 €. Najveće povećanje ovih prihoda odnosi se na povećanje poreza na dohodak od nesamostalnog rada (6111).</w:t>
      </w:r>
    </w:p>
    <w:p>
      <w:pPr>
        <w:pStyle w:val="Normal"/>
        <w:numPr>
          <w:ilvl w:val="0"/>
          <w:numId w:val="11"/>
        </w:numPr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iz inozemstva i od subjekata unutar općeg proračuna (skupina 63) realizirane su u iznosu 675.433,35 €. U odnosu na isto razdoblje prethodne godine veći su za 1,26 %, odnosno za  8.416,95 €. </w:t>
      </w:r>
    </w:p>
    <w:p>
      <w:pPr>
        <w:pStyle w:val="Normal"/>
        <w:numPr>
          <w:ilvl w:val="0"/>
          <w:numId w:val="12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 okviru ove skupine realizirani su prihodi od tekućih pomoći proračunu iz drugih proračuna i izvanproračunskim korisnicima (6331) realizirani su u iznosu 8.539,85 €. Pregled pomoći dajemo u nastavku.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Ovaj iznos uključuje pomoći iz državnog proračuna u iznosu 2.079,92 € te pomoći iz županijskog proračuna u iznosu 6.459,93 € za sanaciju posljedica prirodne nepogode iz 2024. godine. </w:t>
      </w:r>
    </w:p>
    <w:p>
      <w:pPr>
        <w:pStyle w:val="Normal"/>
        <w:numPr>
          <w:ilvl w:val="0"/>
          <w:numId w:val="13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Kapitalne pomoći proračunu iz drugih proračuna i izvanproračunskim korisnicima (6332) realizirane su u iznosu 74.836,79 €. Pojedinačno gledano, unutar ovog odjeljka realizirani su prihodi od kapitalnih pomoći za održavanje pješačkih staza u općini Negoslavci i to od Ministarstva regionalnog razvoja i fondova EU realizirano je ukupno 39.800,00 za rekonstrukciju nogostupa u Vukovarskoj ulici, i Ministarstva gospodarstva 11.100,00 za rekonstrukciju nogostupa u Petrovačkoj ulici.  Agencija za plaćanje u poljoprivredi doznačila je iznos 13.936,79 € za završnu fazu za opremanje dječjeg igrališta u Općini Negoslavci. Predujam  je doznačen u 2024. godini. Vukovarsko-srijemska županija doznačila je iznos od 10.000,00 za sufinanciranje rekonstrukcije nogostupa u Općini.</w:t>
      </w:r>
    </w:p>
    <w:p>
      <w:pPr>
        <w:pStyle w:val="Normal"/>
        <w:numPr>
          <w:ilvl w:val="0"/>
          <w:numId w:val="13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Pomoći od izvanproračunskih korisnika (634)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Ovi prihodi realizirani su u iznosu 40.870,66 €. Na ovoj podskupini evidentirani su prihodi od pomoći iz Fonda za zaštitu okoliša i energetsku učinkovitost za sadnju drveća u Općini Negoslavci u iznosu 26.950,00 €. Iznos od 13.920,66 € doznačen je od HZZO-a na ime  sufinanciranja plaća javnih radova za dva djelatnika na rok od 6 mjeseci. </w:t>
      </w:r>
    </w:p>
    <w:p>
      <w:pPr>
        <w:pStyle w:val="Normal"/>
        <w:numPr>
          <w:ilvl w:val="0"/>
          <w:numId w:val="13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Pomoći temeljem prijenosa EU sredstava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Ovi prihodi realizirani su u iznosu 279.324,44 € i odnose se na Projekt Zaželi.</w:t>
      </w:r>
    </w:p>
    <w:p>
      <w:pPr>
        <w:pStyle w:val="Normal"/>
        <w:numPr>
          <w:ilvl w:val="0"/>
          <w:numId w:val="14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imovine (skupina 64) realizirani su u iznosu 148.194,79 € i veći su za 2,2 %  u odnosu na isto razdoblje prethodne godine.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Nadležni proračun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 prihodi realizirani su u iznosu 1.395,29 € i odnose se na prihode od zakupa državnog poljoprivrednog zemljišta, prihode od koncesija, prihode od zakupa općinske imovine, prihode od javnih površina i sl. </w:t>
      </w:r>
    </w:p>
    <w:p>
      <w:pPr>
        <w:pStyle w:val="Normal"/>
        <w:numPr>
          <w:ilvl w:val="0"/>
          <w:numId w:val="14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upravnih i administrativnih pristojbi, naknada, pristojbi po posebnim propisima (skupina 65) realizirani su u iznosu 19.642,50 €. 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okviru ove skupine, u nadležnom proračunu najveći udio prihoda su prihodi od  komunalne naknade koji su ostvareni u iznosu od 14.824,08 €. Uz navedeno, na skupini ostalih prihoda evidentirani su prihodi od naplate štete od osiguravajućih kuća za štete uzrokovane prirodnom nepogodom u 2024. godine u iznosu 980,41 €, te ostale naknade koje se odnose na kupovinu grobnog mjesta i dr. u iznosu 940,00 €.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Prihodi od prodaje proizvoda i robe te pruženih usluga i prihodi od donacija ostvareni su u iznosu od 200.000,00 € koji se odnose na donacije Zajedničkog vijeća općina Vukovar općini Negoslavci namijenjena za investicijsko uređenje Etno kuće.</w:t>
      </w:r>
    </w:p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RASHODI/IZDACI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Ukupni rashodi/ izdaci u 2025. godini realizirani su u iznosu 1.202.929,96 €. U nastavku dajemo obrazloženje ostvarenja.</w:t>
      </w:r>
    </w:p>
    <w:p>
      <w:pPr>
        <w:pStyle w:val="Normal"/>
        <w:numPr>
          <w:ilvl w:val="0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Rashodi poslovanja </w:t>
      </w:r>
      <w:r>
        <w:rPr>
          <w:rFonts w:ascii="Times New Roman" w:hAnsi="Times New Roman"/>
        </w:rPr>
        <w:t>(Razred 3) veći su za 5,29% u odnosu na isto izvještajno razdoblje prošle godine, a realizirani su u iznosu 916.346,81 €. Unutar ovog razreda realizirani su sljedeći rashodi: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Rashodima za zaposlene (skupina 31) iznosili su 479.265,76 €. Ovi rashodi odnose se na rashode za redovno uposlene u Općinskoj upravi, rashode za zaposlene na projektu Zaželi IV, te rashode za zaposlene u Javnim radovima. 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Materijalni rashodi (skupina 32) u 2025. godini iznosili su 229.542,13 €.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Materijalni rashodi u 2025. godini uključivali su materijalne rashode za zaposlene, uredski materijal, materijal za čišćenje i održavanje, rashode za električnu energiju, plin, motorni benzin i diesel gorivo, materijal za tekuće i investicijsko održavanje opreme, građevina i vozila, sitni inventar, rashode za usluge telefona i pošte, rashode za usluge održavanja opreme, građevina i vozila, rashode za usluge promidžbe i informiranja, komunalne usluge, zakupnine i najamnine, zdravstvene i veterinarske usluge, intelektualne usluge, računalne usluge, usluge čišćenja, naknade članovima općinskog vijeća, premije osiguranja, reprezentacija, članarine, pristojbe i naknade, rashodi protokola i sl.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Financijski rashodi (skupina 34) u 2025. godini iznosili su 5.266,40 €.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Ovi rashodi obuhvaćaju rashode za usluge platnog prometa te naknada Ministarstvu financija za obavljanje usluge razreza i naplate općinskih poreza.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Pomoći dane u inozemstvo i unutar općeg proračuna (skupina 36) realizirane su u iznosu 5.723,62 €. Rashodi ove skupine, a konkretno to su prijenosi osnovnoj školi u Negoslavcima za prehranu djece u predškoli i tekuće donacije za predškolu te prijenosi Vukovarsko-srijemskoj županiji za programe protiv ovisnosti, program umirovljenika i sl.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Naknade građanima i kućanstvima na temelju osiguranja i druge naknade (skupina 37) realizirane su u iznosu 48.570,74 €. U ovoj skupini evidentirani su rashodi za jednokratne pomoći u iznosu 7.350,00, za pomoći stanovanja u novcu 1.793,07 €, jednokratne pomoći umirovljenicima u iznosu 11.630,00 €, stipendiranje studenata i srednjoškolaca 2.000,00 €,  sufinanciranje prijevoza srednjoškolcima u iznosu 1.562,88 €, sufinanciranje prijevoza građana u iznosu 11.915,08 €, sufinanciranje ekskurzija u iznosu 6.374,50 €, Pomoć za novorođeno dijete u iznosu 1.400,00 €, pomoć obiteljima za đake prvake u iznosu 1.500,00 €, te u naravi kupovina obuće za djecu u vrtićima i školi, paketi za potrebite i nabava pisanki, bojanki i pribora za predškolu.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Ostali rashodi (skupina 38) realizirani su u iznosu 147.978,16 €. Rashodi unutar ove skupine  obuhvaćaju donacije vjerskim zajednicama, donacije udrugama u kulturi, sportu, donacije udrugama žena, donacije udrugama iz područja socijalnih djelatnosti, donacije političkim strankama, donacije Hrvatskom crvenom križu, donacije Civilnoj zaštiti, naknada za štetu uzrokovanoj elementarnom nepogodom. </w:t>
      </w:r>
    </w:p>
    <w:p>
      <w:pPr>
        <w:pStyle w:val="Normal"/>
        <w:numPr>
          <w:ilvl w:val="0"/>
          <w:numId w:val="16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Rashodi za nabavu nefinancijske imovine</w:t>
      </w:r>
      <w:r>
        <w:rPr>
          <w:rFonts w:ascii="Times New Roman" w:hAnsi="Times New Roman"/>
        </w:rPr>
        <w:t xml:space="preserve"> (Razred 4) realizirani su u iznosu 286.583,15 €. Rashodi za nabavu proizvedene dugotrajne imovine (skupina 42) realizirana je u iznosu 39.404,71 €.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Ovi rashodi uključuju rashode za nabavu uredskog namještaja u iznosu 368,60 €, te opremanje dječjeg igrališta u iznosu  39.036,11 €.</w:t>
      </w:r>
    </w:p>
    <w:p>
      <w:pPr>
        <w:pStyle w:val="Normal"/>
        <w:numPr>
          <w:ilvl w:val="0"/>
          <w:numId w:val="17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dodatna ulaganja na nefinancijskoj imovini (skupina 45) realizirani su u iznosu 247.178,44 €. Unutar ove skupine evidentirani su rashodi za modernizaciju nogostupa u Općini u iznosu 66.566,50 €, rashodi za dodatna ulaganja na malonogometnom igralištu u iznosu 7.996,71 € te obnovu Etno kuće u iznosu 172.615,23 €.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Prikaz manjka, odnosno viška proračuna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bookmarkStart w:id="0" w:name="_ufpz0w8zuxpg"/>
      <w:bookmarkEnd w:id="0"/>
      <w:r>
        <w:rPr>
          <w:rFonts w:ascii="Times New Roman" w:hAnsi="Times New Roman"/>
        </w:rPr>
        <w:t>Općina Negoslavci ostvarila je u izvještajnom razdoblju manjak prihoda/ primitaka 154.155,02 €. Sa prenesenim viškom iz prethodnog razdoblja u iznosu 371.828,81 €, na kraju izvještajnog razdoblja ostvarila je višak prihoda u iznosu 217.673,79 €.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Stanje novčanih sredstava na računu proračuna i proračunskih korisnika 01.01.2025. i 31.12.2025. godine</w:t>
      </w:r>
    </w:p>
    <w:tbl>
      <w:tblPr>
        <w:tblStyle w:val="a"/>
        <w:tblW w:w="953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670"/>
        <w:gridCol w:w="1842"/>
        <w:gridCol w:w="2021"/>
      </w:tblGrid>
      <w:tr>
        <w:trPr>
          <w:trHeight w:val="315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PRORAČUN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STANJE 1.1.2025.</w:t>
            </w:r>
          </w:p>
        </w:tc>
        <w:tc>
          <w:tcPr>
            <w:tcW w:w="202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STANJE 31.12.2025.</w:t>
            </w:r>
          </w:p>
        </w:tc>
      </w:tr>
      <w:tr>
        <w:trPr>
          <w:trHeight w:val="300" w:hRule="atLeast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PRORAČUN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387.807,16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283.935,85</w:t>
            </w:r>
          </w:p>
        </w:tc>
      </w:tr>
      <w:tr>
        <w:trPr>
          <w:trHeight w:val="300" w:hRule="atLeast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387.807,16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283.935,85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Prihodi i primici/ rashodi i izdaci ostvareni preuzimanjem nefinancijske imovine i financijske imovine u naplati potraživanja javnih davanja</w:t>
      </w:r>
    </w:p>
    <w:p>
      <w:pPr>
        <w:pStyle w:val="Normal"/>
        <w:bidi w:val="0"/>
        <w:ind w:left="142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 2025. godini nisu ostvareni ni prihodi/ primici niti rashodi/ izdaci preuzimanjem nefinancijske imovine i financijske imovine u naplati potraživanja javnih davanja</w:t>
      </w:r>
    </w:p>
    <w:p>
      <w:pPr>
        <w:pStyle w:val="Normal"/>
        <w:widowControl w:val="false"/>
        <w:numPr>
          <w:ilvl w:val="0"/>
          <w:numId w:val="7"/>
        </w:numPr>
        <w:bidi w:val="0"/>
        <w:spacing w:before="12" w:after="0"/>
        <w:ind w:left="284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OBRAZLOŽENJE POSEBNOG DIJELA IZVJEŠTAJA</w:t>
      </w:r>
    </w:p>
    <w:p>
      <w:pPr>
        <w:pStyle w:val="Normal"/>
        <w:widowControl w:val="false"/>
        <w:bidi w:val="0"/>
        <w:ind w:left="284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Obrazloženje posebnog dijela izvještaja o izvršenju proračuna po programskoj organizacijskoj klasifikaciji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Ukupni rashodi/izdaci realizirani u 2025. godine iznose 1.202.929,96 € ili 76,11 %  plana. 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nastavku daje se obrazloženje ostvarenja pojedinih vrsta rashoda/ izdataka po organizacijskoj i programskoj klasifikaciji, te s ciljevima i pokazateljima uspješnosti realizacije tih ciljeva. </w:t>
      </w:r>
    </w:p>
    <w:p>
      <w:pPr>
        <w:pStyle w:val="Normal"/>
        <w:numPr>
          <w:ilvl w:val="1"/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OPĆINSKO VIJEĆE, OPĆINSKI NAČELNIK I TIJELA</w:t>
      </w:r>
    </w:p>
    <w:p>
      <w:pPr>
        <w:pStyle w:val="Normal"/>
        <w:bidi w:val="0"/>
        <w:ind w:left="21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okviru ove glave realizirani su sljedeći programi, aktivnosti i projekti:</w:t>
      </w:r>
    </w:p>
    <w:p>
      <w:pPr>
        <w:pStyle w:val="Normal"/>
        <w:bidi w:val="0"/>
        <w:ind w:left="57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a) </w:t>
      </w:r>
      <w:r>
        <w:rPr>
          <w:rFonts w:ascii="Times New Roman" w:hAnsi="Times New Roman"/>
          <w:b/>
          <w:bCs/>
          <w:color w:val="000000"/>
        </w:rPr>
        <w:t>Program: Donošenje akata i mjera iz djelokruga predstavničkog i izvršnog tijela</w:t>
      </w:r>
      <w:r>
        <w:rPr>
          <w:rFonts w:ascii="Times New Roman" w:hAnsi="Times New Roman"/>
          <w:color w:val="000000"/>
        </w:rPr>
        <w:t xml:space="preserve"> obuhvaća rashode za slijedeće aktivnosti:</w:t>
      </w:r>
    </w:p>
    <w:p>
      <w:pPr>
        <w:pStyle w:val="Normal"/>
        <w:bidi w:val="0"/>
        <w:ind w:left="57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</w:t>
        <w:tab/>
        <w:t xml:space="preserve">Redovni rad Općinskog vijeća - Ova aktivnost realizirana je u iznosu 21.392,05 € i obuhvaća troškove naknada članova općinskog vijeća, troškove vezane za lokalne izbore, te premiju osiguranja imovine. </w:t>
      </w:r>
    </w:p>
    <w:p>
      <w:pPr>
        <w:pStyle w:val="Normal"/>
        <w:bidi w:val="0"/>
        <w:ind w:left="57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</w:t>
        <w:tab/>
        <w:t>Potpora radu političkih stranaka - Ova aktivnost realizirana je u iznosu 6.000,00 €, a odnosi se na troškove vezane za rad političkih stranaka na području općine Negoslavci.</w:t>
      </w:r>
    </w:p>
    <w:tbl>
      <w:tblPr>
        <w:tblStyle w:val="a0"/>
        <w:tblW w:w="10776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7"/>
        <w:gridCol w:w="5368"/>
        <w:gridCol w:w="1270"/>
        <w:gridCol w:w="1277"/>
        <w:gridCol w:w="1424"/>
      </w:tblGrid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70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77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424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GLAVA 00101          Općinsko vijeće</w:t>
            </w:r>
          </w:p>
        </w:tc>
        <w:tc>
          <w:tcPr>
            <w:tcW w:w="1270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28.200,00</w:t>
            </w:r>
          </w:p>
        </w:tc>
        <w:tc>
          <w:tcPr>
            <w:tcW w:w="1277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27.392,05</w:t>
            </w:r>
          </w:p>
        </w:tc>
        <w:tc>
          <w:tcPr>
            <w:tcW w:w="1424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97,13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 1001</w:t>
            </w:r>
          </w:p>
        </w:tc>
        <w:tc>
          <w:tcPr>
            <w:tcW w:w="536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PRIPREMA I DONOŠENJE AKATA IZ DJELOKRUGA PREDST.TIJELA</w:t>
            </w:r>
          </w:p>
        </w:tc>
        <w:tc>
          <w:tcPr>
            <w:tcW w:w="1270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28.200,00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27.392,05</w:t>
            </w:r>
          </w:p>
        </w:tc>
        <w:tc>
          <w:tcPr>
            <w:tcW w:w="1424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97,13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A100100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Redovni rad općinskog vijeća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22.200,00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21.392,05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96,36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A100200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Potpora radu političkih stranaka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6.000,00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6.000,00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Cilj programa je obavljanja poslova iz samoupravnog djelokruga i njihovo unaprjeđenje sa svrhom poboljšanja kvalitete usluge stanovnicima Općine. Pokazatelji rezultata ukazuju na ostvarenje zadanog cilja.</w:t>
      </w:r>
    </w:p>
    <w:tbl>
      <w:tblPr>
        <w:tblStyle w:val="a1"/>
        <w:tblW w:w="10430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1781"/>
        <w:gridCol w:w="2319"/>
        <w:gridCol w:w="2360"/>
      </w:tblGrid>
      <w:tr>
        <w:trPr>
          <w:trHeight w:val="684" w:hRule="atLeast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7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</w:t>
              <w:br/>
              <w:t>pokazatelja rezultata</w:t>
            </w:r>
          </w:p>
        </w:tc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</w:t>
              <w:br/>
              <w:t>vrijednost</w:t>
              <w:br/>
              <w:t>2025.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96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2.2. JEDINSTVENI UPRAVNI ODJEL 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 okviru ovog odjela realizirani su ukupni rashodi u iznosu 1.175.537,91 €. 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 nastavku se daje obrazloženje realiziranih rashoda po  programima, aktivnostima i projektima kako slijedi:</w:t>
      </w:r>
    </w:p>
    <w:p>
      <w:pPr>
        <w:pStyle w:val="Normal"/>
        <w:bidi w:val="0"/>
        <w:ind w:left="13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okviru ove glave realizirani su sljedeći programi, aktivnosti i projekti:</w:t>
      </w:r>
    </w:p>
    <w:p>
      <w:pPr>
        <w:pStyle w:val="Normal"/>
        <w:bidi w:val="0"/>
        <w:ind w:left="284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</w:t>
        <w:tab/>
        <w:t>Pr</w:t>
      </w:r>
      <w:r>
        <w:rPr>
          <w:rFonts w:ascii="Times New Roman" w:hAnsi="Times New Roman"/>
          <w:b/>
          <w:bCs/>
        </w:rPr>
        <w:t>ogram: Donošenje i provedba akata i mjera iz djelokruga</w:t>
      </w:r>
      <w:r>
        <w:rPr>
          <w:rFonts w:ascii="Times New Roman" w:hAnsi="Times New Roman"/>
        </w:rPr>
        <w:t xml:space="preserve"> obuhvaća rashode za slijedeće aktivnosti: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Rashode za zaposlene- Ova aktivnost obuhvaća plaće za zaposlene i naknade, a u 2025. godini realizirana je u iznosu 179.366,07 €.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Materijalni i financijski rashodi- realizirani su u iznosu 202.422,82 € i obuhvaćaju troškove putovanja zaposlenih, troškove prijevoza, režijske rashode, rashode za održavanje objekata i opreme, troškovi objava u elektronskim medijima, intelektualne usluge i sl. </w:t>
      </w:r>
    </w:p>
    <w:tbl>
      <w:tblPr>
        <w:tblStyle w:val="a2"/>
        <w:tblW w:w="10632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366"/>
        <w:gridCol w:w="1277"/>
        <w:gridCol w:w="1275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536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Donošenje i provedba akata i mjera iz djelokruga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460.779,92</w:t>
            </w:r>
          </w:p>
        </w:tc>
        <w:tc>
          <w:tcPr>
            <w:tcW w:w="1275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423.273,52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91,86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 01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Administrativno, tehničko i stručno osoblje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412.849,92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378.602,41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91,70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 02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Bankarske uslug4 i usluge platnog prometa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7.430,00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5.266,40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70,88</w:t>
            </w:r>
          </w:p>
        </w:tc>
      </w:tr>
    </w:tbl>
    <w:p>
      <w:pPr>
        <w:pStyle w:val="Normal"/>
        <w:bidi w:val="0"/>
        <w:ind w:left="709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Cilj programa je obavljanja poslova iz samoupravnog djelokruga i njihovo unaprjeđenje sa svrhom poboljšanja kvalitete usluge stanovnicima Općine. Pokazatelji rezultata ukazuju na ostvarenje zadanog cilja.</w:t>
      </w:r>
    </w:p>
    <w:tbl>
      <w:tblPr>
        <w:tblStyle w:val="a3"/>
        <w:tblW w:w="10430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1781"/>
        <w:gridCol w:w="2319"/>
        <w:gridCol w:w="2360"/>
      </w:tblGrid>
      <w:tr>
        <w:trPr>
          <w:trHeight w:val="684" w:hRule="atLeast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7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</w:t>
              <w:br/>
              <w:t>pokazatelja rezultata</w:t>
            </w:r>
          </w:p>
        </w:tc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</w:t>
              <w:br/>
              <w:t>vrijednost</w:t>
              <w:br/>
              <w:t>2025.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96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28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b) Program: Protupožarna i civilna zaštita </w:t>
      </w:r>
      <w:r>
        <w:rPr>
          <w:rFonts w:ascii="Times New Roman" w:hAnsi="Times New Roman"/>
        </w:rPr>
        <w:t>obuhvaća rashode za slijedeće aktivnosti: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Protupožarna zaštita  - Ova aktivnost realizirana je u iznosu 6.650,00 €. Ovi rashodi uključuju rashode za sufinanciranje rada JVP Vukovarsko-srijemske županije.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Civilna zaštita- Rashodi za ova aktivnost realizirani su u iznosu 663,61 i odnose se na pomoć Hrvatskog gorskoj službi spašavanja, te za ažuriranja dokumentacije potrebe civilne zaštite. </w:t>
      </w:r>
    </w:p>
    <w:tbl>
      <w:tblPr>
        <w:tblStyle w:val="a4"/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366"/>
        <w:gridCol w:w="1276"/>
        <w:gridCol w:w="1276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336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536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PROTUPOŽARNA  I CIVILNA ZAŠTITA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7.980,00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7.313,61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91,65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A100301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Protupožarna zaštita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A100302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Civilna zaštita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1.330,00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663,61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Zaštita stanovništva jedan je od najbitnijih ciljeva Općine. Upravo ovim aktivnostima doprinosimo ostvarenju ciljeva programa, odnosno poboljšanje kvalitete života stanovnika Općine.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Program: Javne potrebe u obrazovanju općine Negoslavci </w:t>
      </w:r>
      <w:r>
        <w:rPr>
          <w:rFonts w:ascii="Times New Roman" w:hAnsi="Times New Roman"/>
          <w:color w:val="000000"/>
        </w:rPr>
        <w:t>obuhvaća rashode za sljedeće aktivnosti: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Predškola - Ova aktivnost realizirana je u iznosu 5.099,27 €. U okviru ove aktivnosti realizirani su rashodi za sufinanciranje rada djelatnice (razlika iznosa koje sufinancira država), tekuće donacije za financiranje prehrane za predškolski odgoj, te nabavka bojanki, pisanki i ostalog pribora za predškolu.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Sufinanciranje javnog prijevoza učenika srednje škole – sufinanciranje prijevoza učenika i studenata u iznosu 1.562,88 €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Osnovno školstvo – sufinanciranje ekskurzija učenicima u iznosu 6.374,50 € i kupovina obuće za učenike osnovnih škola u iznosu 2.280,00 €.</w:t>
      </w:r>
    </w:p>
    <w:tbl>
      <w:tblPr>
        <w:tblStyle w:val="a5"/>
        <w:tblW w:w="10632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366"/>
        <w:gridCol w:w="1277"/>
        <w:gridCol w:w="1275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536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Javne potrebe u obrazovanju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24.750,00</w:t>
            </w:r>
          </w:p>
        </w:tc>
        <w:tc>
          <w:tcPr>
            <w:tcW w:w="1275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15.316,65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61,89</w:t>
            </w:r>
          </w:p>
        </w:tc>
      </w:tr>
      <w:tr>
        <w:trPr>
          <w:trHeight w:val="316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A1004 01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Predškola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12.050,00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5.099,27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42,32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 02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Sufinanciranje javnog prijevoza SS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4.000,00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1.562,88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39,07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A1004 03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Osnovno školstvo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8.700,00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8.654,50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99,48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Najvećim dijelom realizacijom programa se ostvaruju i ciljevi programa, odnosno programom se nastoji pomoći učenicima i studentima u financiranju troškova obrazovanja i osnovnoj školi u obavljanju redovne djelatnosti. 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6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3"/>
        <w:gridCol w:w="1563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A1004 03 Dodjela  pomoći i donacija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odluka o jednokratnoj novčanoj pomoći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28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</w:r>
      <w:r>
        <w:rPr>
          <w:rFonts w:ascii="Times New Roman" w:hAnsi="Times New Roman"/>
          <w:b/>
          <w:bCs/>
        </w:rPr>
        <w:t xml:space="preserve">Program: Održavanje objekata i uređenje komunalne infrastrukture </w:t>
      </w:r>
      <w:r>
        <w:rPr>
          <w:rFonts w:ascii="Times New Roman" w:hAnsi="Times New Roman"/>
        </w:rPr>
        <w:t>obuhvaća rashode za slijedeće aktivnosti: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Održavanje komunalne infrastrukture- Ova aktivnost realizirana je u iznosu 247.636,89 €, a odnosi se sanaciju pješačkih staza u iznosu 49.726,42 €, održavanje javne rasvjete 458,45 €, renoviranje ETNO KUĆE – Doma kulture u iznosu  172.615,23 €, uređenje malonogometnog igralište u iznosu 7.996,71 €, te sanaciju staza u iznosu 16.840,08 €.</w:t>
        <w:tab/>
      </w:r>
    </w:p>
    <w:tbl>
      <w:tblPr>
        <w:tblStyle w:val="a7"/>
        <w:tblW w:w="10776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7"/>
        <w:gridCol w:w="5368"/>
        <w:gridCol w:w="1270"/>
        <w:gridCol w:w="1277"/>
        <w:gridCol w:w="1424"/>
      </w:tblGrid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1005</w:t>
            </w:r>
          </w:p>
        </w:tc>
        <w:tc>
          <w:tcPr>
            <w:tcW w:w="536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ODRŽAVANJE OBJEKATA I UREĐENJE KOMUNALNE INFRASTRUKTURE</w:t>
            </w:r>
          </w:p>
        </w:tc>
        <w:tc>
          <w:tcPr>
            <w:tcW w:w="1270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539.120,81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247.636,89</w:t>
            </w:r>
          </w:p>
        </w:tc>
        <w:tc>
          <w:tcPr>
            <w:tcW w:w="1424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45,93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K1005 01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Održavanje komunalne infrastrukture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419.620,81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230.338,36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54,89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K1005 02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A1005 01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Obnova centra općine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Održavanje javne rasvjete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119.000,00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16.840,08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458,45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14,15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91,69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Najvećim dijelom se cilj ostvaruje zacrtanom dinamikom, a to je osigurati visoku kvalitetu javne infrastrukture te dostatnost komunalnih i ostalih djelatnosti od općeg interesa.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8"/>
        <w:tblW w:w="10679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61"/>
        <w:gridCol w:w="2646"/>
        <w:gridCol w:w="1600"/>
        <w:gridCol w:w="1575"/>
        <w:gridCol w:w="1597"/>
      </w:tblGrid>
      <w:tr>
        <w:trPr>
          <w:trHeight w:val="42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00" w:hRule="atLeast"/>
        </w:trPr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 100501 Renoviranje Etno kuće</w:t>
            </w:r>
          </w:p>
        </w:tc>
        <w:tc>
          <w:tcPr>
            <w:tcW w:w="2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Postotak izgradnje 48 %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K100501 Sanacija pješačkih staza</w:t>
            </w:r>
          </w:p>
        </w:tc>
        <w:tc>
          <w:tcPr>
            <w:tcW w:w="2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2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</w:rPr>
            </w:r>
          </w:p>
        </w:tc>
        <w:tc>
          <w:tcPr>
            <w:tcW w:w="2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 xml:space="preserve">522 m nogostupa održavanja 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522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522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e) Program: Program javnih potreba u socijalnoj skrbi općine Negoslavci</w:t>
      </w:r>
      <w:r>
        <w:rPr>
          <w:rFonts w:ascii="Times New Roman" w:hAnsi="Times New Roman"/>
        </w:rPr>
        <w:t xml:space="preserve"> - Ova aktivnost realizirana je u iznosu 35.512,34 €, a odnose se na rashode za  jednokratne pomoći u iznosu 7.350,00 € (44 jednokratnih novčanih pomoći), za pomoći stanovanja u novcu 1.793,07 €, jednokratne pomoći umirovljenicima u iznosu 11.630,00 €, sufinanciranje prijevoza stanovništva u iznosu 11.915,08 €, paketi za potrebite u iznosu 89,56 €, pomoć obiteljima za đake prvake u iznosu 1.650,00 €, te prijenos sredstava Hrvatskom crvenom križu u iznosu 1.084,63 €.</w:t>
      </w:r>
    </w:p>
    <w:tbl>
      <w:tblPr>
        <w:tblStyle w:val="a9"/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431"/>
        <w:gridCol w:w="3"/>
        <w:gridCol w:w="1208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1007</w:t>
            </w:r>
          </w:p>
        </w:tc>
        <w:tc>
          <w:tcPr>
            <w:tcW w:w="5434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PROGRAM JAVNIH POTREBA U SOCIJALNOJ SKRBI</w:t>
            </w:r>
          </w:p>
        </w:tc>
        <w:tc>
          <w:tcPr>
            <w:tcW w:w="120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208.900,00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139.195,84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66,63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A1007 01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Pomoć u novcu pojedincima i kućanstvima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33.500,00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32.777,71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97,84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A1007 02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Pomoć u novcu pojedincima i kućanstvima đaci/paketići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45,21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A1007 03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Crveni križ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1.084,63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83,43</w:t>
            </w:r>
          </w:p>
        </w:tc>
      </w:tr>
    </w:tbl>
    <w:p>
      <w:pPr>
        <w:pStyle w:val="Normal"/>
        <w:bidi w:val="0"/>
        <w:ind w:left="426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Najvećim dijelom realizacijom programa se ostvaruju i ciljevi programa, odnosno programom se nastoji omogućiti kvalitetan, zdrav i aktivan život stanovnicima Općine. Uz navedeno ovim programom  cilj je skrbiti o svim stanovnicima Općine koji su u potrebi.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a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3"/>
        <w:gridCol w:w="1563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A100110 Dodjela subvencija, pomoći i donacija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Broj odluka o jednokratnoj novčanoj pomoći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64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64</w:t>
            </w:r>
          </w:p>
        </w:tc>
      </w:tr>
      <w:tr>
        <w:trPr>
          <w:trHeight w:val="765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Broj odluka o dodijeljenim potpora umirovljenici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322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f) Program javnih potreba u kulturi </w:t>
      </w:r>
      <w:r>
        <w:rPr>
          <w:rFonts w:ascii="Times New Roman" w:hAnsi="Times New Roman"/>
        </w:rPr>
        <w:t>- Ova aktivnost realizirana je u iznosu 40.500,00 €, a odnosi se na tekuće donacije vjerskim zajednicama u iznosu 400,00 €, tekuće donacije kulturno umjetničkim društvima 3.000,00 €, održavanje kulturnih manifestacija u iznosu 4.150,00 €, donacije udrugama u kulturi u iznosu 27.450,00 €, te za bibliobus u iznosu 1.150,00 €</w:t>
      </w:r>
    </w:p>
    <w:tbl>
      <w:tblPr>
        <w:tblStyle w:val="ab"/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431"/>
        <w:gridCol w:w="3"/>
        <w:gridCol w:w="1208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5434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PROGRAM JAVNIH POTREBA U KULTURI</w:t>
            </w:r>
          </w:p>
        </w:tc>
        <w:tc>
          <w:tcPr>
            <w:tcW w:w="120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62.700,00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40.500,00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64,59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01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Vjerske zajednice – pomoć u radu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97,84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02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Djelatnost kulturno-umjetničkih društava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05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Kulturne manifestacije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Zajedničko vijeće općina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Udruge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5.500,00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37.800,00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4.150,00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5.500,00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27.450,00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left="426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c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3"/>
        <w:gridCol w:w="1563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K100120 Razvoj udruga u kulturi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ugovora za potpore udruga u kulturi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g)</w:t>
        <w:tab/>
        <w:t>Demografske mjere Općine Negoslavci</w:t>
      </w:r>
      <w:r>
        <w:rPr>
          <w:rFonts w:ascii="Times New Roman" w:hAnsi="Times New Roman"/>
        </w:rPr>
        <w:t xml:space="preserve"> - Ova aktivnost realizirana je u iznosu 3.400,00 €, a odnosi se na donacije rodiljama za novorođenčad u iznosu 1.400,00, te dodjela stipendija i školarina u iznosu 2.000,00 €. </w:t>
      </w:r>
    </w:p>
    <w:tbl>
      <w:tblPr>
        <w:tblStyle w:val="ad"/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431"/>
        <w:gridCol w:w="3"/>
        <w:gridCol w:w="1208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5434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DEMOGRAFSKE MJERE OPĆINE NEGOSLAVCI</w:t>
            </w:r>
          </w:p>
        </w:tc>
        <w:tc>
          <w:tcPr>
            <w:tcW w:w="120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68,00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A1010 01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Demografske mjere Općine Negoslavci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3.400,00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68,00</w:t>
            </w:r>
          </w:p>
        </w:tc>
      </w:tr>
    </w:tbl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e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3"/>
        <w:gridCol w:w="1563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52" w:hRule="atLeast"/>
        </w:trPr>
        <w:tc>
          <w:tcPr>
            <w:tcW w:w="32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1010 01 Stipendije i školarine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Broj jednokratnih pomoći za studente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32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Broj jednokratnih pomoći za učenike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1010 01 Pomoć za novorođeno dijete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Broj odluka o jednokratnoj novčanoj pomoći za novorođenčad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</w:r>
      <w:r>
        <w:rPr>
          <w:rFonts w:ascii="Times New Roman" w:hAnsi="Times New Roman"/>
          <w:b/>
          <w:bCs/>
        </w:rPr>
        <w:t>Program „Zaželi IV</w:t>
      </w:r>
      <w:r>
        <w:rPr>
          <w:rFonts w:ascii="Times New Roman" w:hAnsi="Times New Roman"/>
        </w:rPr>
        <w:t>“- Ovo je projekt koji se financira iz Europskog socijalnog fonda plus 2021-2027. Projekt je započeo 15.12.2023</w:t>
      </w:r>
      <w:r>
        <w:rPr>
          <w:rFonts w:ascii="Times New Roman" w:hAnsi="Times New Roman"/>
          <w:color w:val="232323"/>
          <w:highlight w:val="white"/>
        </w:rPr>
        <w:t xml:space="preserve">. Ukupna </w:t>
      </w:r>
      <w:r>
        <w:rPr>
          <w:rFonts w:ascii="Times New Roman" w:hAnsi="Times New Roman"/>
          <w:b/>
          <w:bCs/>
          <w:color w:val="232323"/>
          <w:highlight w:val="white"/>
        </w:rPr>
        <w:t>v</w:t>
      </w:r>
      <w:r>
        <w:rPr>
          <w:rFonts w:ascii="Times New Roman" w:hAnsi="Times New Roman"/>
          <w:color w:val="232323"/>
          <w:highlight w:val="white"/>
        </w:rPr>
        <w:t xml:space="preserve">rijednost projekta iznosi 855.000,00 </w:t>
      </w:r>
      <w:r>
        <w:rPr>
          <w:rFonts w:ascii="Times New Roman" w:hAnsi="Times New Roman"/>
          <w:sz w:val="22"/>
          <w:szCs w:val="22"/>
        </w:rPr>
        <w:t>€</w:t>
      </w:r>
      <w:r>
        <w:rPr>
          <w:rFonts w:ascii="Times New Roman" w:hAnsi="Times New Roman"/>
          <w:color w:val="232323"/>
          <w:highlight w:val="white"/>
        </w:rPr>
        <w:t>, a na njemu je zaposleno 19 osoba koje se skrbe o 114 krajnjih korisnika, te voditelj i asistent projekta.. U 2025. godini realizirano je ukupno 279.324,44 € rashoda. Najvećim dijelom rashodi se odnose na zaposlene na projektu</w:t>
      </w:r>
      <w:r>
        <w:rPr>
          <w:rFonts w:ascii="Times New Roman" w:hAnsi="Times New Roman"/>
          <w:highlight w:val="white"/>
        </w:rPr>
        <w:t xml:space="preserve">. </w:t>
      </w:r>
    </w:p>
    <w:tbl>
      <w:tblPr>
        <w:tblStyle w:val="af"/>
        <w:tblW w:w="10348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42"/>
        <w:gridCol w:w="5357"/>
        <w:gridCol w:w="1275"/>
        <w:gridCol w:w="1134"/>
        <w:gridCol w:w="1140"/>
      </w:tblGrid>
      <w:tr>
        <w:trPr>
          <w:trHeight w:val="225" w:hRule="atLeast"/>
        </w:trPr>
        <w:tc>
          <w:tcPr>
            <w:tcW w:w="679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5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13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14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79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1150</w:t>
            </w:r>
          </w:p>
        </w:tc>
        <w:tc>
          <w:tcPr>
            <w:tcW w:w="535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DRUŠTVENE DJELATNOSTI</w:t>
            </w:r>
          </w:p>
        </w:tc>
        <w:tc>
          <w:tcPr>
            <w:tcW w:w="1275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610.400,00</w:t>
            </w:r>
          </w:p>
        </w:tc>
        <w:tc>
          <w:tcPr>
            <w:tcW w:w="1134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518.355,74</w:t>
            </w:r>
          </w:p>
        </w:tc>
        <w:tc>
          <w:tcPr>
            <w:tcW w:w="1140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84,34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T100121</w:t>
            </w:r>
          </w:p>
        </w:tc>
        <w:tc>
          <w:tcPr>
            <w:tcW w:w="535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Tekući projekt: Program "Zaželi IV"- program u kući osobama starije životne dobi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190.400,00</w:t>
            </w:r>
          </w:p>
        </w:tc>
        <w:tc>
          <w:tcPr>
            <w:tcW w:w="113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181.249,73</w:t>
            </w:r>
          </w:p>
        </w:tc>
        <w:tc>
          <w:tcPr>
            <w:tcW w:w="114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95,19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spacing w:before="12" w:after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CILJ PROGRAMA </w:t>
      </w:r>
      <w:r>
        <w:rPr>
          <w:rFonts w:ascii="Times New Roman" w:hAnsi="Times New Roman"/>
        </w:rPr>
        <w:t>je pružanje pomoći i podrške starijim osobama te osobama sa invaliditetom kako bi mogli što duže biti samostalno u svom vlastitom domu. Program je usmjeren na smanjenje socijalne isključenosti i prevenciju institucionalizacije korisnika. Uz to program potiče razvoj socijalnih usluga  u lokalnim zajednicama, posebno u ruralnim i slabije razvijenim područjima gdje je pomoć često manje dostupna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f0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3"/>
        <w:gridCol w:w="1563"/>
        <w:gridCol w:w="1562"/>
        <w:gridCol w:w="1559"/>
      </w:tblGrid>
      <w:tr>
        <w:trPr>
          <w:trHeight w:val="865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T100121 Program „Zaželi IV“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6"/>
        </w:numPr>
        <w:bidi w:val="0"/>
        <w:spacing w:before="12" w:after="0"/>
        <w:ind w:left="0" w:right="1" w:hanging="502"/>
        <w:jc w:val="both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36"/>
        </w:rPr>
        <w:t>POSEBNI IZVJEŠTAJI U GODIŠNJEM IZVJEŠTAJU O IZVRŠENJU PRORAČUNA</w:t>
      </w:r>
    </w:p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Posebni izvještaji u godišnjem izvještaju o izvršenju proračuna sadrže</w:t>
      </w:r>
    </w:p>
    <w:p>
      <w:pPr>
        <w:pStyle w:val="Normal"/>
        <w:widowControl w:val="false"/>
        <w:numPr>
          <w:ilvl w:val="0"/>
          <w:numId w:val="18"/>
        </w:numPr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korištenju proračunske zalihe</w:t>
      </w:r>
    </w:p>
    <w:p>
      <w:pPr>
        <w:pStyle w:val="Normal"/>
        <w:widowControl w:val="false"/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 Proračunu Općine Negoslavci za 2025. g. nije planirana proračunska zaliha.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zaduživanju na domaćem i stranom tržištu novca i kapitala</w:t>
      </w:r>
    </w:p>
    <w:p>
      <w:pPr>
        <w:pStyle w:val="Normal"/>
        <w:widowControl w:val="false"/>
        <w:numPr>
          <w:ilvl w:val="0"/>
          <w:numId w:val="19"/>
        </w:numPr>
        <w:bidi w:val="0"/>
        <w:ind w:left="426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Općina Negoslavci se u 2025. godini nije zaduživala.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danim jamstvima i plaćanjima po protestiranim jamstvima</w:t>
      </w:r>
    </w:p>
    <w:p>
      <w:pPr>
        <w:pStyle w:val="Normal"/>
        <w:bidi w:val="0"/>
        <w:ind w:firstLine="1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Općina Negoslavci nema danih jamstava niti izdataka po istim.</w:t>
      </w:r>
    </w:p>
    <w:p>
      <w:pPr>
        <w:pStyle w:val="Normal"/>
        <w:widowControl w:val="false"/>
        <w:numPr>
          <w:ilvl w:val="0"/>
          <w:numId w:val="18"/>
        </w:numPr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korištenju sredstava EU</w:t>
      </w:r>
    </w:p>
    <w:tbl>
      <w:tblPr>
        <w:tblStyle w:val="af1"/>
        <w:tblW w:w="96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80"/>
        <w:gridCol w:w="2863"/>
        <w:gridCol w:w="1220"/>
        <w:gridCol w:w="1180"/>
        <w:gridCol w:w="1840"/>
        <w:gridCol w:w="1840"/>
      </w:tblGrid>
      <w:tr>
        <w:trPr>
          <w:trHeight w:val="900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RED. BR. 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FONDA EU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PRIHODI U 2025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RASHODI U 2025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STANJE POTRAŽIVANJA PO SREDSTVIMA IZ FONDOVA EU 31.12.2025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STANJE OBVEZA PO SREDSTVIMA IZ FONDOVA EU 31.12.2025</w:t>
            </w:r>
          </w:p>
        </w:tc>
      </w:tr>
      <w:tr>
        <w:trPr>
          <w:trHeight w:val="288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6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Operativni program Učinkoviti ljudski potencijali 2021.-2027.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295.509,98 €   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499.451,24 € 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0,00 € 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0,00  </w:t>
            </w:r>
          </w:p>
        </w:tc>
      </w:tr>
    </w:tbl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17"/>
        </w:numPr>
        <w:bidi w:val="0"/>
        <w:spacing w:before="12" w:after="0"/>
        <w:ind w:left="426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</w:t>
      </w:r>
      <w:r>
        <w:rPr>
          <w:rFonts w:ascii="Times New Roman" w:hAnsi="Times New Roman"/>
          <w:b/>
          <w:bCs/>
          <w:color w:val="000000"/>
          <w:sz w:val="22"/>
          <w:szCs w:val="26"/>
        </w:rPr>
        <w:t xml:space="preserve">ROJEKT: ZAŽELI IV „ZAŽELI“ </w:t>
      </w:r>
    </w:p>
    <w:tbl>
      <w:tblPr>
        <w:tblStyle w:val="af2"/>
        <w:tblW w:w="97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828"/>
        <w:gridCol w:w="5965"/>
      </w:tblGrid>
      <w:tr>
        <w:trPr>
          <w:trHeight w:val="300" w:hRule="atLeast"/>
        </w:trPr>
        <w:tc>
          <w:tcPr>
            <w:tcW w:w="97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OPĆENITO O PROJEKTU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NAZIV PROJEKTA:</w:t>
            </w:r>
          </w:p>
        </w:tc>
        <w:tc>
          <w:tcPr>
            <w:tcW w:w="5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Zaželi- Negoslavci - faza IV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IZ KOJEG SE SUFINANCIRA: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Učinkoviti ljudski potencijali 2021.-2027.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UGOVORNO TIJELO PT1: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Ministarstvo rada, mirovinskoga sustava, obitelji i socijalne politike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UGOVORNO TIJELO PT2: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Hrvatski zavod za zapošljavanje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BROJČANA OZNAKA PROJEKTA: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SF.3.4.11.01.0132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Ukupna vrijednost projekta: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855.000,00 €</w:t>
            </w:r>
          </w:p>
        </w:tc>
      </w:tr>
      <w:tr>
        <w:trPr>
          <w:trHeight w:val="600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Sufinancirano iz: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Bespovratna sredstva osigurana su iz Državnog proračuna Republike Hrvatske (15%) i iz Europskog socijalnog fonda plus (85%)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Postotak sufinanciranja: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100,00%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Iznos vlastitih sredstava: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 kn/0,00 €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Postotak vlastitih sredstava: 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0,00%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BROJ ZAPOSLENIH NA PROJEKTU: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osoba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Trajanje projekta: </w:t>
            </w:r>
          </w:p>
        </w:tc>
        <w:tc>
          <w:tcPr>
            <w:tcW w:w="59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 mjeseci 15.12.2023. – 15.12.2026.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 uplaćeno iz EU od početka provedbe projekta:</w:t>
            </w:r>
          </w:p>
        </w:tc>
        <w:tc>
          <w:tcPr>
            <w:tcW w:w="5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633.692,15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€ </w:t>
            </w:r>
          </w:p>
        </w:tc>
      </w:tr>
    </w:tbl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left="36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IZVJEŠTAJ O KORIŠTENJU SREDSTAVA FONDOVA EU</w:t>
      </w:r>
    </w:p>
    <w:tbl>
      <w:tblPr>
        <w:tblStyle w:val="af3"/>
        <w:tblW w:w="90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61"/>
        <w:gridCol w:w="1549"/>
        <w:gridCol w:w="1290"/>
        <w:gridCol w:w="1463"/>
        <w:gridCol w:w="1415"/>
        <w:gridCol w:w="1326"/>
        <w:gridCol w:w="1339"/>
      </w:tblGrid>
      <w:tr>
        <w:trPr>
          <w:trHeight w:val="1172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Red.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broj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Europski fond iz kojeg se financira projekt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Izvor financiranja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Ostvareni prihodi  iz fondova EU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Izvršeni rashodi iz fondova EU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Stanje potraživanja iz fondova EU</w:t>
            </w: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Stanje obveza za primljene predujmove</w:t>
            </w:r>
          </w:p>
        </w:tc>
      </w:tr>
      <w:tr>
        <w:trPr>
          <w:trHeight w:val="1172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Europski socijalni fond plus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505.369,49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499.451,24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221.380,51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16.185,54</w:t>
            </w:r>
          </w:p>
        </w:tc>
      </w:tr>
      <w:tr>
        <w:trPr>
          <w:trHeight w:val="1172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505.369,49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499.451,24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221.380,51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16.185,54</w:t>
            </w:r>
          </w:p>
        </w:tc>
      </w:tr>
    </w:tbl>
    <w:p>
      <w:pPr>
        <w:pStyle w:val="Normal"/>
        <w:bidi w:val="0"/>
        <w:ind w:left="36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PRIHODI I RASHODI IZ FONDOVA EU</w:t>
      </w:r>
    </w:p>
    <w:tbl>
      <w:tblPr>
        <w:tblStyle w:val="af4"/>
        <w:tblW w:w="97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89"/>
        <w:gridCol w:w="1707"/>
        <w:gridCol w:w="1552"/>
        <w:gridCol w:w="1557"/>
        <w:gridCol w:w="1460"/>
        <w:gridCol w:w="2903"/>
      </w:tblGrid>
      <w:tr>
        <w:trPr>
          <w:trHeight w:val="1440" w:hRule="atLeast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Europski fond iz kojeg se financira projekt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Izvor financiranja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Ukupno ugovorena    EU sredstava</w:t>
            </w: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Ostvareni prihod od početka provedbe projekta zaključno s izvještajnim razdobljem</w:t>
            </w:r>
          </w:p>
        </w:tc>
      </w:tr>
      <w:tr>
        <w:trPr>
          <w:trHeight w:val="576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Projekt Zaželi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Europski socijalni fond plus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726.750,00</w:t>
            </w:r>
          </w:p>
        </w:tc>
        <w:tc>
          <w:tcPr>
            <w:tcW w:w="29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505.369,49</w:t>
            </w:r>
          </w:p>
        </w:tc>
      </w:tr>
      <w:tr>
        <w:trPr>
          <w:trHeight w:val="488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726.750,00</w:t>
            </w:r>
          </w:p>
        </w:tc>
        <w:tc>
          <w:tcPr>
            <w:tcW w:w="29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505.369,49</w:t>
            </w:r>
          </w:p>
        </w:tc>
      </w:tr>
    </w:tbl>
    <w:p>
      <w:pPr>
        <w:pStyle w:val="Normal"/>
        <w:bidi w:val="0"/>
        <w:ind w:left="36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numPr>
          <w:ilvl w:val="0"/>
          <w:numId w:val="18"/>
        </w:numPr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danim zajmovima i potraživanjima po danim zajmovima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Općina nema danih zajmova niti potraživanja po danim zajmovima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stanju potraživanja i dospjelih obveza te o stanju potencijalnih obveza po osnovi sudskih sporova</w:t>
      </w:r>
    </w:p>
    <w:p>
      <w:pPr>
        <w:pStyle w:val="Normal"/>
        <w:widowControl w:val="false"/>
        <w:bidi w:val="0"/>
        <w:spacing w:before="12" w:after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Stanje dospjelih nenaplaćenih potraživanja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Općine na dan 31. prosinca 2025</w:t>
      </w:r>
      <w:r>
        <w:rPr>
          <w:rFonts w:ascii="Times New Roman" w:hAnsi="Times New Roman"/>
        </w:rPr>
        <w:t>. godine.</w:t>
      </w:r>
    </w:p>
    <w:tbl>
      <w:tblPr>
        <w:tblStyle w:val="af5"/>
        <w:tblW w:w="1022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94"/>
        <w:gridCol w:w="3100"/>
        <w:gridCol w:w="2026"/>
        <w:gridCol w:w="2014"/>
        <w:gridCol w:w="1786"/>
      </w:tblGrid>
      <w:tr>
        <w:trPr>
          <w:trHeight w:val="420" w:hRule="atLeast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100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Proračun/ proračunski korisnik</w:t>
            </w:r>
          </w:p>
        </w:tc>
        <w:tc>
          <w:tcPr>
            <w:tcW w:w="2026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Ukupna potraživanja</w:t>
            </w:r>
          </w:p>
        </w:tc>
        <w:tc>
          <w:tcPr>
            <w:tcW w:w="2014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Dospjela potraživanja</w:t>
            </w:r>
          </w:p>
        </w:tc>
        <w:tc>
          <w:tcPr>
            <w:tcW w:w="1786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Nedospjela potraživanja</w:t>
            </w:r>
          </w:p>
        </w:tc>
      </w:tr>
      <w:tr>
        <w:trPr>
          <w:trHeight w:val="225" w:hRule="atLeast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PRORAČUN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294.046,33</w:t>
            </w:r>
          </w:p>
        </w:tc>
        <w:tc>
          <w:tcPr>
            <w:tcW w:w="2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14.721,89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279.324,44</w:t>
            </w:r>
          </w:p>
        </w:tc>
      </w:tr>
    </w:tbl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spacing w:before="12" w:after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Stanje  dospjelih obveza Općine Negoslavci  na dan 31. prosinca 2025. godine </w:t>
      </w:r>
    </w:p>
    <w:tbl>
      <w:tblPr>
        <w:tblStyle w:val="af6"/>
        <w:tblW w:w="1022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94"/>
        <w:gridCol w:w="3100"/>
        <w:gridCol w:w="2026"/>
        <w:gridCol w:w="2014"/>
        <w:gridCol w:w="1786"/>
      </w:tblGrid>
      <w:tr>
        <w:trPr>
          <w:trHeight w:val="225" w:hRule="atLeast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100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Proračun/ proračunski korisnik</w:t>
            </w:r>
          </w:p>
        </w:tc>
        <w:tc>
          <w:tcPr>
            <w:tcW w:w="2026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Ukupne obveze</w:t>
            </w:r>
          </w:p>
        </w:tc>
        <w:tc>
          <w:tcPr>
            <w:tcW w:w="2014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Dospjele obveze</w:t>
            </w:r>
          </w:p>
        </w:tc>
        <w:tc>
          <w:tcPr>
            <w:tcW w:w="1786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Nedospjele obveze</w:t>
            </w:r>
          </w:p>
        </w:tc>
      </w:tr>
      <w:tr>
        <w:trPr>
          <w:trHeight w:val="225" w:hRule="atLeast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PRORAČUN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63.018,72</w:t>
            </w:r>
          </w:p>
        </w:tc>
        <w:tc>
          <w:tcPr>
            <w:tcW w:w="2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63.018,72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Stanje potencijalnih obveza po osnovi sudskih postupaka Općine Negoslavci</w:t>
      </w:r>
      <w:r>
        <w:rPr>
          <w:rFonts w:ascii="Times New Roman" w:hAnsi="Times New Roman"/>
          <w:color w:val="000000"/>
        </w:rPr>
        <w:t xml:space="preserve"> na dan 31.12.2025. godine nema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Izvještaj o izvršenim preraspodjelama proračunskih sredstava u Proračunu Općine Negoslavci za 2025. godinu 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Tijekom 2025. godine nije bilo preraspodjela sredstava u Proračunu Općine Negoslavci.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right="393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PREDSJEDNIK OPĆINSKOG VIJEĆA: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right="393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Miodrag Mišanović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53" w:hanging="360"/>
      </w:pPr>
      <w:rPr>
        <w:sz w:val="24"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59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/>
    </w:lvl>
  </w:abstractNum>
  <w:abstractNum w:abstractNumId="4">
    <w:lvl w:ilvl="0">
      <w:numFmt w:val="decimal"/>
      <w:lvlText w:val=""/>
      <w:lvlJc w:val="left"/>
      <w:pPr>
        <w:tabs>
          <w:tab w:val="num" w:pos="0"/>
        </w:tabs>
        <w:ind w:left="720" w:hanging="360"/>
      </w:pPr>
      <w:rPr>
        <w:rFonts w:eastAsia="Noto Sans Symbols" w:cs="Noto Sans Symbol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1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9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8" w:hanging="1800"/>
      </w:pPr>
      <w:rPr/>
    </w:lvl>
  </w:abstractNum>
  <w:abstractNum w:abstractNumId="8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iCs w:val="false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0" w:hanging="57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Noto Sans Symbols" w:hAnsi="Noto Sans Symbols" w:cs="Noto Sans Symbols" w:hint="default"/>
      </w:rPr>
    </w:lvl>
  </w:abstractNum>
  <w:abstractNum w:abstractNumId="1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5"/>
      <w:numFmt w:val="bullet"/>
      <w:lvlText w:val="-"/>
      <w:lvlJc w:val="left"/>
      <w:pPr>
        <w:tabs>
          <w:tab w:val="num" w:pos="0"/>
        </w:tabs>
        <w:ind w:left="-6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54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7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09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3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25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694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10</Pages>
  <Words>3588</Words>
  <Characters>22140</Characters>
  <CharactersWithSpaces>25243</CharactersWithSpaces>
  <Paragraphs>628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2026-05-05T13:30:42Z</dcterms:created>
  <dc:creator/>
  <dc:description/>
  <dc:language>hr-HR</dc:language>
  <cp:lastModifiedBy/>
  <dcterms:modified xsi:type="dcterms:W3CDTF">2026-05-05T13:30:56Z</dcterms:modified>
  <cp:revision>1</cp:revision>
  <dc:subject/>
  <dc:title/>
</cp:coreProperties>
</file>