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drawing>
          <wp:anchor behindDoc="0" distT="0" distB="0" distL="114300" distR="114300" simplePos="0" locked="0" layoutInCell="0" allowOverlap="1" relativeHeight="7">
            <wp:simplePos x="0" y="0"/>
            <wp:positionH relativeFrom="column">
              <wp:posOffset>2569845</wp:posOffset>
            </wp:positionH>
            <wp:positionV relativeFrom="paragraph">
              <wp:posOffset>2540</wp:posOffset>
            </wp:positionV>
            <wp:extent cx="981075" cy="1177290"/>
            <wp:effectExtent l="0" t="0" r="0" b="0"/>
            <wp:wrapSquare wrapText="bothSides"/>
            <wp:docPr id="1" name="Slika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6" descr=""/>
                    <pic:cNvPicPr>
                      <a:picLocks noChangeAspect="1" noChangeArrowheads="1"/>
                    </pic:cNvPicPr>
                  </pic:nvPicPr>
                  <pic:blipFill>
                    <a:blip r:embed="rId2"/>
                    <a:stretch>
                      <a:fillRect/>
                    </a:stretch>
                  </pic:blipFill>
                  <pic:spPr bwMode="auto">
                    <a:xfrm>
                      <a:off x="0" y="0"/>
                      <a:ext cx="981075" cy="1177290"/>
                    </a:xfrm>
                    <a:prstGeom prst="rect">
                      <a:avLst/>
                    </a:prstGeom>
                  </pic:spPr>
                </pic:pic>
              </a:graphicData>
            </a:graphic>
          </wp:anchor>
        </w:drawing>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r>
    </w:p>
    <w:p>
      <w:pPr>
        <w:pStyle w:val="Normal"/>
        <w:bidi w:val="0"/>
        <w:jc w:val="center"/>
        <w:rPr>
          <w:rFonts w:ascii="Bahnschrift" w:hAnsi="Bahnschrift" w:cs="Arial"/>
          <w:b/>
          <w:b/>
          <w:color w:val="000000" w:themeColor="text1"/>
          <w:sz w:val="40"/>
          <w:szCs w:val="40"/>
        </w:rPr>
      </w:pPr>
      <w:r>
        <w:rPr>
          <w:rFonts w:cs="Arial" w:ascii="Bahnschrift" w:hAnsi="Bahnschrift"/>
          <w:b/>
          <w:color w:val="000000" w:themeColor="text1"/>
          <w:sz w:val="40"/>
          <w:szCs w:val="40"/>
        </w:rPr>
        <w:t>PROVEDBENI PROGRAM OPĆINE NEGOSLAVCI</w:t>
      </w:r>
    </w:p>
    <w:p>
      <w:pPr>
        <w:pStyle w:val="Normal"/>
        <w:bidi w:val="0"/>
        <w:jc w:val="center"/>
        <w:rPr>
          <w:rFonts w:ascii="Bahnschrift" w:hAnsi="Bahnschrift" w:cs="Arial"/>
          <w:bCs/>
          <w:color w:val="000000" w:themeColor="text1"/>
          <w:sz w:val="40"/>
          <w:szCs w:val="40"/>
        </w:rPr>
      </w:pPr>
      <w:r>
        <w:rPr>
          <w:rFonts w:cs="Arial" w:ascii="Bahnschrift" w:hAnsi="Bahnschrift"/>
          <w:bCs/>
          <w:color w:val="000000" w:themeColor="text1"/>
          <w:sz w:val="40"/>
          <w:szCs w:val="40"/>
        </w:rPr>
        <w:t>za razdoblje 2025.-2029.</w:t>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Bahnschrift" w:hAnsi="Bahnschrift"/>
          <w:sz w:val="24"/>
        </w:rPr>
        <w:t>Naziv nositelja izrade:</w:t>
      </w:r>
      <w:r>
        <w:rPr/>
        <w:t xml:space="preserve"> </w:t>
      </w:r>
      <w:r>
        <w:rPr>
          <w:rFonts w:ascii="Bahnschrift" w:hAnsi="Bahnschrift"/>
          <w:sz w:val="24"/>
        </w:rPr>
        <w:t>Dušan Jeckov</w:t>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center"/>
        <w:rPr>
          <w:rFonts w:ascii="Bahnschrift" w:hAnsi="Bahnschrift"/>
          <w:sz w:val="24"/>
        </w:rPr>
      </w:pPr>
      <w:r>
        <w:rPr>
          <w:rFonts w:ascii="Bahnschrift" w:hAnsi="Bahnschrift"/>
          <w:sz w:val="24"/>
        </w:rPr>
        <w:t>Izrađeno: srpanj 2025.</w:t>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Stilnaslova1"/>
        <w:numPr>
          <w:ilvl w:val="0"/>
          <w:numId w:val="0"/>
        </w:numPr>
        <w:bidi w:val="0"/>
        <w:spacing w:before="0" w:after="0"/>
        <w:ind w:left="432" w:hanging="0"/>
        <w:jc w:val="left"/>
        <w:rPr/>
      </w:pPr>
      <w:bookmarkStart w:id="0" w:name="_Toc201148121"/>
      <w:bookmarkStart w:id="1" w:name="_Toc203651340"/>
      <w:r>
        <w:rPr/>
        <w:t>SADRŽAJ</w:t>
      </w:r>
      <w:bookmarkEnd w:id="0"/>
      <w:bookmarkEnd w:id="1"/>
    </w:p>
    <w:p>
      <w:pPr>
        <w:pStyle w:val="Normal"/>
        <w:bidi w:val="0"/>
        <w:spacing w:before="0" w:after="0"/>
        <w:jc w:val="center"/>
        <w:rPr>
          <w:rFonts w:ascii="Arial" w:hAnsi="Arial"/>
          <w:sz w:val="24"/>
        </w:rPr>
      </w:pPr>
      <w:r>
        <w:rPr>
          <w:rFonts w:ascii="Arial" w:hAnsi="Arial"/>
          <w:sz w:val="24"/>
        </w:rPr>
      </w:r>
    </w:p>
    <w:sdt>
      <w:sdtPr>
        <w:docPartObj>
          <w:docPartGallery w:val="Table of Contents"/>
          <w:docPartUnique w:val="true"/>
        </w:docPartObj>
      </w:sdtPr>
      <w:sdtContent>
        <w:p>
          <w:pPr>
            <w:pStyle w:val="Sadraj1"/>
            <w:tabs>
              <w:tab w:val="clear" w:pos="709"/>
              <w:tab w:val="right" w:pos="9062" w:leader="dot"/>
            </w:tabs>
            <w:bidi w:val="0"/>
            <w:spacing w:lineRule="auto" w:line="276"/>
            <w:jc w:val="left"/>
            <w:rPr>
              <w:rFonts w:ascii="Arial" w:hAnsi="Arial" w:eastAsia="" w:cs="Arial" w:eastAsiaTheme="minorEastAsia"/>
              <w:kern w:val="2"/>
              <w:sz w:val="24"/>
              <w:szCs w:val="24"/>
              <w:lang w:eastAsia="hr-HR"/>
              <w14:ligatures w14:val="standardContextual"/>
            </w:rPr>
          </w:pPr>
          <w:r>
            <w:fldChar w:fldCharType="begin"/>
          </w:r>
          <w:r>
            <w:rPr>
              <w:sz w:val="24"/>
              <w:kern w:val="2"/>
              <w:szCs w:val="24"/>
              <w:rFonts w:eastAsia="" w:cs="Arial" w:ascii="Arial" w:hAnsi="Arial"/>
              <w:lang w:eastAsia="hr-HR"/>
            </w:rPr>
            <w:instrText xml:space="preserve"> TOC \z \o "1-3" \u \h</w:instrText>
          </w:r>
          <w:r>
            <w:rPr>
              <w:sz w:val="24"/>
              <w:kern w:val="2"/>
              <w:szCs w:val="24"/>
              <w:rFonts w:eastAsia="" w:cs="Arial" w:ascii="Arial" w:hAnsi="Arial"/>
              <w:lang w:eastAsia="hr-HR"/>
            </w:rPr>
            <w:fldChar w:fldCharType="separate"/>
          </w:r>
          <w:r>
            <w:rPr>
              <w:rFonts w:eastAsia="" w:cs="Arial" w:eastAsiaTheme="minorEastAsia" w:ascii="Arial" w:hAnsi="Arial"/>
              <w:kern w:val="2"/>
              <w:sz w:val="24"/>
              <w:szCs w:val="24"/>
              <w:lang w:eastAsia="hr-HR"/>
              <w14:ligatures w14:val="standardContextual"/>
            </w:rPr>
          </w:r>
        </w:p>
        <w:p>
          <w:pPr>
            <w:pStyle w:val="Sadraj1"/>
            <w:tabs>
              <w:tab w:val="clear" w:pos="709"/>
              <w:tab w:val="left" w:pos="480" w:leader="none"/>
              <w:tab w:val="right" w:pos="906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41">
            <w:r>
              <w:rPr>
                <w:webHidden/>
                <w:rStyle w:val="Indeksnapoveznica"/>
                <w:rFonts w:cs="Arial" w:ascii="Arial" w:hAnsi="Arial"/>
                <w:vanish w:val="false"/>
                <w:sz w:val="24"/>
                <w:szCs w:val="24"/>
              </w:rPr>
              <w:t>1.</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PREDGOVOR</w:t>
            </w:r>
            <w:r>
              <w:rPr>
                <w:webHidden/>
              </w:rPr>
              <w:fldChar w:fldCharType="begin"/>
            </w:r>
            <w:r>
              <w:rPr>
                <w:webHidden/>
              </w:rPr>
              <w:instrText xml:space="preserve">PAGEREF _Toc203651341 \h</w:instrText>
            </w:r>
            <w:r>
              <w:rPr>
                <w:webHidden/>
              </w:rPr>
              <w:fldChar w:fldCharType="separate"/>
            </w:r>
            <w:r>
              <w:rPr>
                <w:rStyle w:val="Indeksnapoveznica"/>
                <w:rFonts w:cs="Arial" w:ascii="Arial" w:hAnsi="Arial"/>
                <w:vanish w:val="false"/>
                <w:sz w:val="24"/>
                <w:szCs w:val="24"/>
              </w:rPr>
              <w:tab/>
              <w:t>3</w:t>
            </w:r>
            <w:r>
              <w:rPr>
                <w:webHidden/>
              </w:rPr>
              <w:fldChar w:fldCharType="end"/>
            </w:r>
          </w:hyperlink>
        </w:p>
        <w:p>
          <w:pPr>
            <w:pStyle w:val="Sadraj1"/>
            <w:tabs>
              <w:tab w:val="clear" w:pos="709"/>
              <w:tab w:val="left" w:pos="480" w:leader="none"/>
              <w:tab w:val="right" w:pos="906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42">
            <w:r>
              <w:rPr>
                <w:webHidden/>
                <w:rStyle w:val="Indeksnapoveznica"/>
                <w:rFonts w:cs="Arial" w:ascii="Arial" w:hAnsi="Arial"/>
                <w:vanish w:val="false"/>
                <w:sz w:val="24"/>
                <w:szCs w:val="24"/>
              </w:rPr>
              <w:t>2.</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UVOD</w:t>
            </w:r>
            <w:r>
              <w:rPr>
                <w:webHidden/>
              </w:rPr>
              <w:fldChar w:fldCharType="begin"/>
            </w:r>
            <w:r>
              <w:rPr>
                <w:webHidden/>
              </w:rPr>
              <w:instrText xml:space="preserve">PAGEREF _Toc203651342 \h</w:instrText>
            </w:r>
            <w:r>
              <w:rPr>
                <w:webHidden/>
              </w:rPr>
              <w:fldChar w:fldCharType="separate"/>
            </w:r>
            <w:r>
              <w:rPr>
                <w:rStyle w:val="Indeksnapoveznica"/>
                <w:rFonts w:cs="Arial" w:ascii="Arial" w:hAnsi="Arial"/>
                <w:vanish w:val="false"/>
                <w:sz w:val="24"/>
                <w:szCs w:val="24"/>
              </w:rPr>
              <w:tab/>
              <w:t>5</w:t>
            </w:r>
            <w:r>
              <w:rPr>
                <w:webHidden/>
              </w:rPr>
              <w:fldChar w:fldCharType="end"/>
            </w:r>
          </w:hyperlink>
        </w:p>
        <w:p>
          <w:pPr>
            <w:pStyle w:val="Sadraj2"/>
            <w:tabs>
              <w:tab w:val="clear" w:pos="709"/>
              <w:tab w:val="left" w:pos="1180" w:leader="none"/>
              <w:tab w:val="right" w:pos="928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43">
            <w:r>
              <w:rPr>
                <w:webHidden/>
                <w:rStyle w:val="Indeksnapoveznica"/>
                <w:rFonts w:cs="Arial" w:ascii="Arial" w:hAnsi="Arial"/>
                <w:vanish w:val="false"/>
                <w:sz w:val="24"/>
                <w:szCs w:val="24"/>
              </w:rPr>
              <w:t>2.1.</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Samoupravni djelokrug</w:t>
            </w:r>
            <w:r>
              <w:rPr>
                <w:webHidden/>
              </w:rPr>
              <w:fldChar w:fldCharType="begin"/>
            </w:r>
            <w:r>
              <w:rPr>
                <w:webHidden/>
              </w:rPr>
              <w:instrText xml:space="preserve">PAGEREF _Toc203651343 \h</w:instrText>
            </w:r>
            <w:r>
              <w:rPr>
                <w:webHidden/>
              </w:rPr>
              <w:fldChar w:fldCharType="separate"/>
            </w:r>
            <w:r>
              <w:rPr>
                <w:rStyle w:val="Indeksnapoveznica"/>
                <w:rFonts w:cs="Arial" w:ascii="Arial" w:hAnsi="Arial"/>
                <w:vanish w:val="false"/>
                <w:sz w:val="24"/>
                <w:szCs w:val="24"/>
              </w:rPr>
              <w:tab/>
              <w:t>5</w:t>
            </w:r>
            <w:r>
              <w:rPr>
                <w:webHidden/>
              </w:rPr>
              <w:fldChar w:fldCharType="end"/>
            </w:r>
          </w:hyperlink>
        </w:p>
        <w:p>
          <w:pPr>
            <w:pStyle w:val="Sadraj2"/>
            <w:tabs>
              <w:tab w:val="clear" w:pos="709"/>
              <w:tab w:val="left" w:pos="1180" w:leader="none"/>
              <w:tab w:val="right" w:pos="928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44">
            <w:r>
              <w:rPr>
                <w:webHidden/>
                <w:rStyle w:val="Indeksnapoveznica"/>
                <w:rFonts w:cs="Arial" w:ascii="Arial" w:hAnsi="Arial"/>
                <w:vanish w:val="false"/>
                <w:sz w:val="24"/>
                <w:szCs w:val="24"/>
              </w:rPr>
              <w:t>2.2.</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Vizija</w:t>
            </w:r>
            <w:r>
              <w:rPr>
                <w:webHidden/>
              </w:rPr>
              <w:fldChar w:fldCharType="begin"/>
            </w:r>
            <w:r>
              <w:rPr>
                <w:webHidden/>
              </w:rPr>
              <w:instrText xml:space="preserve">PAGEREF _Toc203651344 \h</w:instrText>
            </w:r>
            <w:r>
              <w:rPr>
                <w:webHidden/>
              </w:rPr>
              <w:fldChar w:fldCharType="separate"/>
            </w:r>
            <w:r>
              <w:rPr>
                <w:rStyle w:val="Indeksnapoveznica"/>
                <w:rFonts w:cs="Arial" w:ascii="Arial" w:hAnsi="Arial"/>
                <w:vanish w:val="false"/>
                <w:sz w:val="24"/>
                <w:szCs w:val="24"/>
              </w:rPr>
              <w:tab/>
              <w:t>5</w:t>
            </w:r>
            <w:r>
              <w:rPr>
                <w:webHidden/>
              </w:rPr>
              <w:fldChar w:fldCharType="end"/>
            </w:r>
          </w:hyperlink>
        </w:p>
        <w:p>
          <w:pPr>
            <w:pStyle w:val="Sadraj2"/>
            <w:tabs>
              <w:tab w:val="clear" w:pos="709"/>
              <w:tab w:val="left" w:pos="1180" w:leader="none"/>
              <w:tab w:val="right" w:pos="928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45">
            <w:r>
              <w:rPr>
                <w:webHidden/>
                <w:rStyle w:val="Indeksnapoveznica"/>
                <w:rFonts w:cs="Arial" w:ascii="Arial" w:hAnsi="Arial"/>
                <w:vanish w:val="false"/>
                <w:sz w:val="24"/>
                <w:szCs w:val="24"/>
              </w:rPr>
              <w:t>2.3.</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Mandat i misija</w:t>
            </w:r>
            <w:r>
              <w:rPr>
                <w:webHidden/>
              </w:rPr>
              <w:fldChar w:fldCharType="begin"/>
            </w:r>
            <w:r>
              <w:rPr>
                <w:webHidden/>
              </w:rPr>
              <w:instrText xml:space="preserve">PAGEREF _Toc203651345 \h</w:instrText>
            </w:r>
            <w:r>
              <w:rPr>
                <w:webHidden/>
              </w:rPr>
              <w:fldChar w:fldCharType="separate"/>
            </w:r>
            <w:r>
              <w:rPr>
                <w:rStyle w:val="Indeksnapoveznica"/>
                <w:rFonts w:cs="Arial" w:ascii="Arial" w:hAnsi="Arial"/>
                <w:vanish w:val="false"/>
                <w:sz w:val="24"/>
                <w:szCs w:val="24"/>
              </w:rPr>
              <w:tab/>
              <w:t>6</w:t>
            </w:r>
            <w:r>
              <w:rPr>
                <w:webHidden/>
              </w:rPr>
              <w:fldChar w:fldCharType="end"/>
            </w:r>
          </w:hyperlink>
        </w:p>
        <w:p>
          <w:pPr>
            <w:pStyle w:val="Sadraj2"/>
            <w:tabs>
              <w:tab w:val="clear" w:pos="709"/>
              <w:tab w:val="left" w:pos="1180" w:leader="none"/>
              <w:tab w:val="right" w:pos="928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46">
            <w:r>
              <w:rPr>
                <w:webHidden/>
                <w:rStyle w:val="Indeksnapoveznica"/>
                <w:rFonts w:cs="Arial" w:ascii="Arial" w:hAnsi="Arial"/>
                <w:vanish w:val="false"/>
                <w:sz w:val="24"/>
                <w:szCs w:val="24"/>
              </w:rPr>
              <w:t>2.4.</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Proračunski korisnici i druge pravne osobe u nadležnosti</w:t>
            </w:r>
            <w:r>
              <w:rPr>
                <w:webHidden/>
              </w:rPr>
              <w:fldChar w:fldCharType="begin"/>
            </w:r>
            <w:r>
              <w:rPr>
                <w:webHidden/>
              </w:rPr>
              <w:instrText xml:space="preserve">PAGEREF _Toc203651346 \h</w:instrText>
            </w:r>
            <w:r>
              <w:rPr>
                <w:webHidden/>
              </w:rPr>
              <w:fldChar w:fldCharType="separate"/>
            </w:r>
            <w:r>
              <w:rPr>
                <w:rStyle w:val="Indeksnapoveznica"/>
                <w:rFonts w:cs="Arial" w:ascii="Arial" w:hAnsi="Arial"/>
                <w:vanish w:val="false"/>
                <w:sz w:val="24"/>
                <w:szCs w:val="24"/>
              </w:rPr>
              <w:tab/>
              <w:t>7</w:t>
            </w:r>
            <w:r>
              <w:rPr>
                <w:webHidden/>
              </w:rPr>
              <w:fldChar w:fldCharType="end"/>
            </w:r>
          </w:hyperlink>
        </w:p>
        <w:p>
          <w:pPr>
            <w:pStyle w:val="Sadraj2"/>
            <w:tabs>
              <w:tab w:val="clear" w:pos="709"/>
              <w:tab w:val="left" w:pos="1180" w:leader="none"/>
              <w:tab w:val="right" w:pos="928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47">
            <w:r>
              <w:rPr>
                <w:webHidden/>
                <w:rStyle w:val="Indeksnapoveznica"/>
                <w:rFonts w:cs="Arial" w:ascii="Arial" w:hAnsi="Arial"/>
                <w:vanish w:val="false"/>
                <w:sz w:val="24"/>
                <w:szCs w:val="24"/>
              </w:rPr>
              <w:t>2.5.</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Organizacijska struktura Općine Negoslavci</w:t>
            </w:r>
            <w:r>
              <w:rPr>
                <w:webHidden/>
              </w:rPr>
              <w:fldChar w:fldCharType="begin"/>
            </w:r>
            <w:r>
              <w:rPr>
                <w:webHidden/>
              </w:rPr>
              <w:instrText xml:space="preserve">PAGEREF _Toc203651347 \h</w:instrText>
            </w:r>
            <w:r>
              <w:rPr>
                <w:webHidden/>
              </w:rPr>
              <w:fldChar w:fldCharType="separate"/>
            </w:r>
            <w:r>
              <w:rPr>
                <w:rStyle w:val="Indeksnapoveznica"/>
                <w:rFonts w:cs="Arial" w:ascii="Arial" w:hAnsi="Arial"/>
                <w:vanish w:val="false"/>
                <w:sz w:val="24"/>
                <w:szCs w:val="24"/>
              </w:rPr>
              <w:tab/>
              <w:t>7</w:t>
            </w:r>
            <w:r>
              <w:rPr>
                <w:webHidden/>
              </w:rPr>
              <w:fldChar w:fldCharType="end"/>
            </w:r>
          </w:hyperlink>
        </w:p>
        <w:p>
          <w:pPr>
            <w:pStyle w:val="Sadraj1"/>
            <w:tabs>
              <w:tab w:val="clear" w:pos="709"/>
              <w:tab w:val="left" w:pos="480" w:leader="none"/>
              <w:tab w:val="right" w:pos="906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48">
            <w:r>
              <w:rPr>
                <w:webHidden/>
                <w:rStyle w:val="Indeksnapoveznica"/>
                <w:rFonts w:cs="Arial" w:ascii="Arial" w:hAnsi="Arial"/>
                <w:vanish w:val="false"/>
                <w:sz w:val="24"/>
                <w:szCs w:val="24"/>
              </w:rPr>
              <w:t>3.</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OPIS KRATKOROČNIH RAZVOJNIH IZAZOVA I POTENCIJALA U SAMOUPRAVNOM PODRUČJU JLS</w:t>
            </w:r>
            <w:r>
              <w:rPr>
                <w:webHidden/>
              </w:rPr>
              <w:fldChar w:fldCharType="begin"/>
            </w:r>
            <w:r>
              <w:rPr>
                <w:webHidden/>
              </w:rPr>
              <w:instrText xml:space="preserve">PAGEREF _Toc203651348 \h</w:instrText>
            </w:r>
            <w:r>
              <w:rPr>
                <w:webHidden/>
              </w:rPr>
              <w:fldChar w:fldCharType="separate"/>
            </w:r>
            <w:r>
              <w:rPr>
                <w:rStyle w:val="Indeksnapoveznica"/>
                <w:rFonts w:cs="Arial" w:ascii="Arial" w:hAnsi="Arial"/>
                <w:vanish w:val="false"/>
                <w:sz w:val="24"/>
                <w:szCs w:val="24"/>
              </w:rPr>
              <w:tab/>
              <w:t>8</w:t>
            </w:r>
            <w:r>
              <w:rPr>
                <w:webHidden/>
              </w:rPr>
              <w:fldChar w:fldCharType="end"/>
            </w:r>
          </w:hyperlink>
        </w:p>
        <w:p>
          <w:pPr>
            <w:pStyle w:val="Sadraj1"/>
            <w:tabs>
              <w:tab w:val="clear" w:pos="709"/>
              <w:tab w:val="left" w:pos="480" w:leader="none"/>
              <w:tab w:val="right" w:pos="906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49">
            <w:r>
              <w:rPr>
                <w:webHidden/>
                <w:rStyle w:val="Indeksnapoveznica"/>
                <w:rFonts w:cs="Arial" w:ascii="Arial" w:hAnsi="Arial"/>
                <w:vanish w:val="false"/>
                <w:sz w:val="24"/>
                <w:szCs w:val="24"/>
              </w:rPr>
              <w:t>4.</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DOPRINOS PROVEDBI CILJEVA I PRIORITETA IZ POVEZANIH AKATA STRATEŠKOG PLANIRANJA</w:t>
            </w:r>
            <w:r>
              <w:rPr>
                <w:webHidden/>
              </w:rPr>
              <w:fldChar w:fldCharType="begin"/>
            </w:r>
            <w:r>
              <w:rPr>
                <w:webHidden/>
              </w:rPr>
              <w:instrText xml:space="preserve">PAGEREF _Toc203651349 \h</w:instrText>
            </w:r>
            <w:r>
              <w:rPr>
                <w:webHidden/>
              </w:rPr>
              <w:fldChar w:fldCharType="separate"/>
            </w:r>
            <w:r>
              <w:rPr>
                <w:rStyle w:val="Indeksnapoveznica"/>
                <w:rFonts w:cs="Arial" w:ascii="Arial" w:hAnsi="Arial"/>
                <w:vanish w:val="false"/>
                <w:sz w:val="24"/>
                <w:szCs w:val="24"/>
              </w:rPr>
              <w:tab/>
              <w:t>10</w:t>
            </w:r>
            <w:r>
              <w:rPr>
                <w:webHidden/>
              </w:rPr>
              <w:fldChar w:fldCharType="end"/>
            </w:r>
          </w:hyperlink>
        </w:p>
        <w:p>
          <w:pPr>
            <w:pStyle w:val="Sadraj1"/>
            <w:tabs>
              <w:tab w:val="clear" w:pos="709"/>
              <w:tab w:val="left" w:pos="480" w:leader="none"/>
              <w:tab w:val="right" w:pos="906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50">
            <w:r>
              <w:rPr>
                <w:webHidden/>
                <w:rStyle w:val="Indeksnapoveznica"/>
                <w:rFonts w:cs="Arial" w:ascii="Arial" w:hAnsi="Arial"/>
                <w:vanish w:val="false"/>
                <w:sz w:val="24"/>
                <w:szCs w:val="24"/>
              </w:rPr>
              <w:t>5.</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POPIS MJERA S OPISOM, KLJUČNIM AKTIVNOSTIMA I POKAZATELJIMA REZULTATA</w:t>
            </w:r>
            <w:r>
              <w:rPr>
                <w:webHidden/>
              </w:rPr>
              <w:fldChar w:fldCharType="begin"/>
            </w:r>
            <w:r>
              <w:rPr>
                <w:webHidden/>
              </w:rPr>
              <w:instrText xml:space="preserve">PAGEREF _Toc203651350 \h</w:instrText>
            </w:r>
            <w:r>
              <w:rPr>
                <w:webHidden/>
              </w:rPr>
              <w:fldChar w:fldCharType="separate"/>
            </w:r>
            <w:r>
              <w:rPr>
                <w:rStyle w:val="Indeksnapoveznica"/>
                <w:rFonts w:cs="Arial" w:ascii="Arial" w:hAnsi="Arial"/>
                <w:vanish w:val="false"/>
                <w:sz w:val="24"/>
                <w:szCs w:val="24"/>
              </w:rPr>
              <w:tab/>
              <w:t>12</w:t>
            </w:r>
            <w:r>
              <w:rPr>
                <w:webHidden/>
              </w:rPr>
              <w:fldChar w:fldCharType="end"/>
            </w:r>
          </w:hyperlink>
        </w:p>
        <w:p>
          <w:pPr>
            <w:pStyle w:val="Sadraj1"/>
            <w:tabs>
              <w:tab w:val="clear" w:pos="709"/>
              <w:tab w:val="left" w:pos="480" w:leader="none"/>
              <w:tab w:val="right" w:pos="906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51">
            <w:r>
              <w:rPr>
                <w:webHidden/>
                <w:rStyle w:val="Indeksnapoveznica"/>
                <w:rFonts w:cs="Arial" w:ascii="Arial" w:hAnsi="Arial"/>
                <w:vanish w:val="false"/>
                <w:sz w:val="24"/>
                <w:szCs w:val="24"/>
              </w:rPr>
              <w:t>6.</w:t>
            </w:r>
            <w:r>
              <w:rPr>
                <w:rStyle w:val="Indeksnapoveznica"/>
                <w:rFonts w:eastAsia="" w:cs="Arial" w:ascii="Arial" w:hAnsi="Arial" w:eastAsiaTheme="minorEastAsia"/>
                <w:kern w:val="2"/>
                <w:sz w:val="24"/>
                <w:szCs w:val="24"/>
                <w:lang w:eastAsia="hr-HR"/>
                <w14:ligatures w14:val="standardContextual"/>
              </w:rPr>
              <w:tab/>
            </w:r>
            <w:r>
              <w:rPr>
                <w:rStyle w:val="Indeksnapoveznica"/>
                <w:rFonts w:cs="Arial" w:ascii="Arial" w:hAnsi="Arial"/>
                <w:sz w:val="24"/>
                <w:szCs w:val="24"/>
              </w:rPr>
              <w:t>OKVIR ZA PRAĆENJE PROVEDBE</w:t>
            </w:r>
            <w:r>
              <w:rPr>
                <w:webHidden/>
              </w:rPr>
              <w:fldChar w:fldCharType="begin"/>
            </w:r>
            <w:r>
              <w:rPr>
                <w:webHidden/>
              </w:rPr>
              <w:instrText xml:space="preserve">PAGEREF _Toc203651351 \h</w:instrText>
            </w:r>
            <w:r>
              <w:rPr>
                <w:webHidden/>
              </w:rPr>
              <w:fldChar w:fldCharType="separate"/>
            </w:r>
            <w:r>
              <w:rPr>
                <w:rStyle w:val="Indeksnapoveznica"/>
                <w:rFonts w:cs="Arial" w:ascii="Arial" w:hAnsi="Arial"/>
                <w:vanish w:val="false"/>
                <w:sz w:val="24"/>
                <w:szCs w:val="24"/>
              </w:rPr>
              <w:tab/>
              <w:t>24</w:t>
            </w:r>
            <w:r>
              <w:rPr>
                <w:webHidden/>
              </w:rPr>
              <w:fldChar w:fldCharType="end"/>
            </w:r>
          </w:hyperlink>
        </w:p>
        <w:p>
          <w:pPr>
            <w:pStyle w:val="Sadraj1"/>
            <w:tabs>
              <w:tab w:val="clear" w:pos="709"/>
              <w:tab w:val="right" w:pos="9062" w:leader="dot"/>
            </w:tabs>
            <w:bidi w:val="0"/>
            <w:spacing w:lineRule="auto" w:line="276"/>
            <w:jc w:val="left"/>
            <w:rPr>
              <w:rFonts w:ascii="Arial" w:hAnsi="Arial" w:eastAsia="" w:cs="Arial" w:eastAsiaTheme="minorEastAsia"/>
              <w:kern w:val="2"/>
              <w:sz w:val="24"/>
              <w:szCs w:val="24"/>
              <w:lang w:eastAsia="hr-HR"/>
              <w14:ligatures w14:val="standardContextual"/>
            </w:rPr>
          </w:pPr>
          <w:hyperlink w:anchor="_Toc203651352">
            <w:r>
              <w:rPr>
                <w:webHidden/>
              </w:rPr>
              <w:fldChar w:fldCharType="begin"/>
            </w:r>
            <w:r>
              <w:rPr>
                <w:webHidden/>
              </w:rPr>
              <w:instrText xml:space="preserve">PAGEREF _Toc203651352 \h</w:instrText>
            </w:r>
            <w:r>
              <w:rPr>
                <w:webHidden/>
              </w:rPr>
              <w:fldChar w:fldCharType="separate"/>
            </w:r>
            <w:r>
              <w:rPr>
                <w:webHidden/>
                <w:rStyle w:val="Indeksnapoveznica"/>
                <w:rFonts w:cs="Arial" w:ascii="Arial" w:hAnsi="Arial"/>
                <w:vanish w:val="false"/>
                <w:sz w:val="24"/>
                <w:szCs w:val="24"/>
              </w:rPr>
              <w:t>PRILOG 1. Tablični prikaz provedbenog programa</w:t>
              <w:tab/>
              <w:t>25</w:t>
            </w:r>
            <w:r>
              <w:rPr>
                <w:webHidden/>
              </w:rPr>
              <w:fldChar w:fldCharType="end"/>
            </w:r>
          </w:hyperlink>
          <w:r>
            <w:rPr>
              <w:rStyle w:val="Indeksnapoveznica"/>
              <w:sz w:val="24"/>
              <w:szCs w:val="24"/>
              <w:vanish w:val="false"/>
              <w:rFonts w:cs="Arial" w:ascii="Arial" w:hAnsi="Arial"/>
            </w:rPr>
            <w:fldChar w:fldCharType="end"/>
          </w:r>
        </w:p>
      </w:sdtContent>
    </w:sdt>
    <w:p>
      <w:pPr>
        <w:pStyle w:val="Normal"/>
        <w:bidi w:val="0"/>
        <w:spacing w:lineRule="auto" w:line="276"/>
        <w:jc w:val="left"/>
        <w:rPr/>
      </w:pPr>
      <w:r>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Stilnaslova1"/>
        <w:numPr>
          <w:ilvl w:val="0"/>
          <w:numId w:val="3"/>
        </w:numPr>
        <w:bidi w:val="0"/>
        <w:jc w:val="left"/>
        <w:rPr/>
      </w:pPr>
      <w:bookmarkStart w:id="2" w:name="_Toc203651341"/>
      <w:r>
        <w:rPr/>
        <w:t>PREDGOVOR</w:t>
      </w:r>
      <w:bookmarkEnd w:id="2"/>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Provedbeni program Općine Negoslavci za razdoblje 2025.–2029., koji donosi općinski načelnik Dušan Jeckov, nastavak je kontinuiteta rada i odgovornog upravljanja razvojem lokalne zajednice. Usmjeren je na realizaciju konkretnih mjera i projekata koji za cilj imaju dodatno poboljšati kvalitetu života svih stanovnika općine i unaprijediti javnu infrastrukturu, socijalne usluge i gospodarske prilike u općini.</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Općina Negoslavci je i u prethodnim razdobljima pokazala kako, unatoč ograničenim financijskim kapacitetima, može uspješno provoditi važne projekte koristeći sredstva iz nacionalnih i europskih fondova. Na tom iskustvu gradi i svoju budućnost. U novom mandatu, dodatno će se intenzivirati napori prema privlačenju vanjskih izvora financiranja, jer upravo takav model omogućava ravnomjeran i održiv razvoj ovoga kraja.</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Cilj je da Negoslavci ostanu mjesto ugodnog življenja – s infrastrukturom koja zadovoljava suvremene potrebe, s društvom koje je uključivo, aktivno i solidarno, te s lokalnom upravom koja služi građanima transparentno i učinkovito.</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Kroz ovaj mandat nastaviti će se:</w:t>
      </w:r>
    </w:p>
    <w:p>
      <w:pPr>
        <w:pStyle w:val="Normal"/>
        <w:numPr>
          <w:ilvl w:val="0"/>
          <w:numId w:val="4"/>
        </w:numPr>
        <w:bidi w:val="0"/>
        <w:spacing w:lineRule="auto" w:line="276" w:before="0" w:after="0"/>
        <w:jc w:val="both"/>
        <w:rPr>
          <w:rFonts w:ascii="Arial" w:hAnsi="Arial" w:eastAsia="Arial" w:cs="Arial"/>
          <w:sz w:val="24"/>
          <w:szCs w:val="24"/>
        </w:rPr>
      </w:pPr>
      <w:r>
        <w:rPr>
          <w:rFonts w:eastAsia="Arial" w:cs="Arial" w:ascii="Arial" w:hAnsi="Arial"/>
          <w:sz w:val="24"/>
          <w:szCs w:val="24"/>
        </w:rPr>
        <w:t>podizati komunalni standard,</w:t>
      </w:r>
    </w:p>
    <w:p>
      <w:pPr>
        <w:pStyle w:val="Normal"/>
        <w:numPr>
          <w:ilvl w:val="0"/>
          <w:numId w:val="4"/>
        </w:numPr>
        <w:bidi w:val="0"/>
        <w:spacing w:lineRule="auto" w:line="276" w:before="0" w:after="0"/>
        <w:jc w:val="both"/>
        <w:rPr>
          <w:rFonts w:ascii="Arial" w:hAnsi="Arial" w:eastAsia="Arial" w:cs="Arial"/>
          <w:sz w:val="24"/>
          <w:szCs w:val="24"/>
        </w:rPr>
      </w:pPr>
      <w:r>
        <w:rPr>
          <w:rFonts w:eastAsia="Arial" w:cs="Arial" w:ascii="Arial" w:hAnsi="Arial"/>
          <w:sz w:val="24"/>
          <w:szCs w:val="24"/>
        </w:rPr>
        <w:t>unapređivati obrazovne, kulturne i sportske sadržaje,</w:t>
      </w:r>
    </w:p>
    <w:p>
      <w:pPr>
        <w:pStyle w:val="Normal"/>
        <w:numPr>
          <w:ilvl w:val="0"/>
          <w:numId w:val="4"/>
        </w:numPr>
        <w:bidi w:val="0"/>
        <w:spacing w:lineRule="auto" w:line="276" w:before="0" w:after="0"/>
        <w:jc w:val="both"/>
        <w:rPr>
          <w:rFonts w:ascii="Arial" w:hAnsi="Arial" w:eastAsia="Arial" w:cs="Arial"/>
          <w:sz w:val="24"/>
          <w:szCs w:val="24"/>
        </w:rPr>
      </w:pPr>
      <w:r>
        <w:rPr>
          <w:rFonts w:eastAsia="Arial" w:cs="Arial" w:ascii="Arial" w:hAnsi="Arial"/>
          <w:sz w:val="24"/>
          <w:szCs w:val="24"/>
        </w:rPr>
        <w:t>podržavati mlade, obitelji i ranjive skupine,</w:t>
      </w:r>
    </w:p>
    <w:p>
      <w:pPr>
        <w:pStyle w:val="Normal"/>
        <w:numPr>
          <w:ilvl w:val="0"/>
          <w:numId w:val="4"/>
        </w:numPr>
        <w:bidi w:val="0"/>
        <w:spacing w:lineRule="auto" w:line="276" w:before="0" w:after="0"/>
        <w:jc w:val="both"/>
        <w:rPr>
          <w:rFonts w:ascii="Arial" w:hAnsi="Arial" w:eastAsia="Arial" w:cs="Arial"/>
          <w:sz w:val="24"/>
          <w:szCs w:val="24"/>
        </w:rPr>
      </w:pPr>
      <w:r>
        <w:rPr>
          <w:rFonts w:eastAsia="Arial" w:cs="Arial" w:ascii="Arial" w:hAnsi="Arial"/>
          <w:sz w:val="24"/>
          <w:szCs w:val="24"/>
        </w:rPr>
        <w:t>čuvati okoliš i razvijati lokalno gospodarstvo na održivim temeljima.</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Općina Negoslavci će se i dalje će se razvijati u jedinom mogućem smjeru – održivo, transparentno i u službi svih svojih stanovnika. Ovim dokumentom potvrđuje se usmjerenost na kvalitetan razvoj, a u godinama koje slijede, to će se dokazivati kroz provedbu svakog planiranog projekta.</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Strateški okvir u kojem je smješten Provedbeni program Općine Negoslavci za razdoblje 2025.–2029. temelji se na hijerarhijski povezanom sustavu strateških dokumenata Europske unije, Republike Hrvatske, Vukovarsko-srijemske županije i Općine Negoslavci. Ovaj okvir omogućuje usklađeno djelovanje svih razina vlasti s ciljem poticanja održivog razvoja, demografske revitalizacije i povećanja kvalitete života građana.</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Provedbeni program Općine Negoslavci postaje ključni instrument za provedbu višerazinskih razvojnih politika, osiguravajući konkretnu primjenu šireg strateškog okvira na lokalnoj razini kroz jasno definirane prioritete, mjere i projekte.</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 xml:space="preserve">Prema Zakonu o sustavu strateškog planiranja i upravljanja razvojem Republike Hrvatske („Narodne novine“, br. 123/17, 151/22), Općina Negoslavci drugi puta izrađuje i donosi provedbeni program. </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 xml:space="preserve">Provedbeni program </w:t>
      </w:r>
      <w:r>
        <w:rPr>
          <w:rFonts w:eastAsia="Arial" w:cs="Arial" w:ascii="Arial" w:hAnsi="Arial"/>
          <w:color w:val="000000"/>
          <w:sz w:val="24"/>
          <w:szCs w:val="24"/>
        </w:rPr>
        <w:t xml:space="preserve">Općine Negoslavci je kratkoročni </w:t>
      </w:r>
      <w:r>
        <w:rPr>
          <w:rFonts w:eastAsia="Arial" w:cs="Arial" w:ascii="Arial" w:hAnsi="Arial"/>
          <w:sz w:val="24"/>
          <w:szCs w:val="24"/>
        </w:rPr>
        <w:t>akt strateškog planiranja povezan s višegodišnjim proračunom kojeg općinski načelnik donosi u roku od 120 dana od dana stupanja na dužnost.</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color w:val="000000" w:themeColor="text1"/>
          <w:sz w:val="24"/>
          <w:szCs w:val="24"/>
        </w:rPr>
      </w:pPr>
      <w:r>
        <w:rPr>
          <w:rFonts w:eastAsia="Arial" w:cs="Arial" w:ascii="Arial" w:hAnsi="Arial"/>
          <w:color w:val="000000" w:themeColor="text1"/>
          <w:sz w:val="24"/>
          <w:szCs w:val="24"/>
        </w:rPr>
        <w:t>Provedbeni program opisuje i osigurava postizanje ciljeva, ako je primjenjivo, iz srednjoročnog akta strateškog planiranja i poveznicu s proračunom JLS.</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Provedbeni program</w:t>
      </w:r>
      <w:r>
        <w:rPr>
          <w:rFonts w:eastAsia="Arial" w:cs="Times New Roman" w:ascii="Arial" w:hAnsi="Arial"/>
        </w:rPr>
        <w:t xml:space="preserve"> </w:t>
      </w:r>
      <w:r>
        <w:rPr>
          <w:rFonts w:eastAsia="Arial" w:cs="Arial" w:ascii="Arial" w:hAnsi="Arial"/>
          <w:sz w:val="24"/>
          <w:szCs w:val="24"/>
        </w:rPr>
        <w:t>donosi se za vrijeme trajanja mandata općinskog načelnika i vrijedi za taj mandat.</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 xml:space="preserve">Provedbeni programi izravno su povezani s proračunskim postupkom. U svrhu procjene troškova provedbe mjera i organizacije proračunskih programa JLS mora raščlaniti mjere na prateće aktivnosti i projekte. </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 xml:space="preserve">Tijekom izrade proračuna vrši se odabir mjera za financiranje i odlučuje o načinu financiranja pratećih aktivnosti i projekata. Kod izrade provedbenog programa mora se dati veza s proračunom i sredstvima koja su planirana u proračunu. </w:t>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bidi w:val="0"/>
        <w:spacing w:lineRule="auto" w:line="276" w:before="0" w:after="0"/>
        <w:jc w:val="both"/>
        <w:rPr>
          <w:rFonts w:ascii="Arial" w:hAnsi="Arial" w:eastAsia="Arial" w:cs="Arial"/>
          <w:sz w:val="24"/>
          <w:szCs w:val="24"/>
        </w:rPr>
      </w:pPr>
      <w:r>
        <w:rPr>
          <w:rFonts w:eastAsia="Arial" w:cs="Arial" w:ascii="Arial" w:hAnsi="Arial"/>
          <w:sz w:val="24"/>
          <w:szCs w:val="24"/>
        </w:rPr>
        <w:t>Za sve mjere, aktivnosti i projekte predviđene provedbenim programom sredstva moraju biti predviđena odobrenim proračunom i/ili osigurana iz drugih izvora financiranja (npr. sredstvima iz fondova EU).</w:t>
      </w:r>
    </w:p>
    <w:p>
      <w:pPr>
        <w:pStyle w:val="Normal"/>
        <w:bidi w:val="0"/>
        <w:spacing w:before="0" w:after="0"/>
        <w:jc w:val="center"/>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Provedbeni program Općine Negoslavci za razdoblje 2025. - 2029. godine predstavlja promišljen i sveobuhvatan alat strateškog upravljanja koji odgovara na ključne izazove lokalne zajednice. Njegova vrijednost ogleda se u povezivanju konkretnih mjera s dugoročnom vizijom razvoja Općine Negoslavci, kako bi se stvorila sredina koja je otporna, uključiva i spremna na suvremene razvojne izazove.</w:t>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r>
    </w:p>
    <w:p>
      <w:pPr>
        <w:pStyle w:val="Stilnaslova1"/>
        <w:numPr>
          <w:ilvl w:val="0"/>
          <w:numId w:val="3"/>
        </w:numPr>
        <w:bidi w:val="0"/>
        <w:jc w:val="left"/>
        <w:rPr/>
      </w:pPr>
      <w:bookmarkStart w:id="3" w:name="_Toc203651342"/>
      <w:r>
        <w:rPr/>
        <w:t>UVOD</w:t>
      </w:r>
      <w:bookmarkEnd w:id="3"/>
    </w:p>
    <w:p>
      <w:pPr>
        <w:pStyle w:val="Normal"/>
        <w:bidi w:val="0"/>
        <w:spacing w:before="0" w:after="0"/>
        <w:jc w:val="both"/>
        <w:rPr>
          <w:rFonts w:ascii="Arial" w:hAnsi="Arial"/>
          <w:sz w:val="24"/>
        </w:rPr>
      </w:pPr>
      <w:r>
        <w:rPr>
          <w:rFonts w:ascii="Arial" w:hAnsi="Arial"/>
          <w:sz w:val="24"/>
        </w:rPr>
      </w:r>
    </w:p>
    <w:p>
      <w:pPr>
        <w:pStyle w:val="Stilnaslova2"/>
        <w:numPr>
          <w:ilvl w:val="1"/>
          <w:numId w:val="3"/>
        </w:numPr>
        <w:bidi w:val="0"/>
        <w:spacing w:before="0" w:after="0"/>
        <w:rPr/>
      </w:pPr>
      <w:bookmarkStart w:id="4" w:name="_Toc203651343"/>
      <w:r>
        <w:rPr/>
        <w:t>Samoupravni djelokrug</w:t>
      </w:r>
      <w:bookmarkEnd w:id="4"/>
    </w:p>
    <w:p>
      <w:pPr>
        <w:pStyle w:val="Normal"/>
        <w:bidi w:val="0"/>
        <w:spacing w:before="0" w:after="0"/>
        <w:jc w:val="left"/>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sz w:val="24"/>
          <w:szCs w:val="24"/>
        </w:rPr>
      </w:pPr>
      <w:r>
        <w:rPr>
          <w:rFonts w:cs="Arial" w:ascii="Arial" w:hAnsi="Arial"/>
          <w:sz w:val="24"/>
          <w:szCs w:val="24"/>
        </w:rPr>
        <w:t>Općina u svom samoupravnom djelokrugu obavlja poslove lokalnog značenja kojima se neposredno ostvaruju potrebe građana, a koji nisu Ustavom ili zakonom dodijeljeni državnim tijelima i to osobito poslove koji se odnose na:</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uređenje naselja i stanovanja,</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prostorno i urbanističko planiranje,</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komunalne djelatnosti,</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brigu o djeci,</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socijalnu skrb,</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primarnu zdravstvenu zaštitu,</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odgoj i osnovno obrazovanje,</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kulturu, tjelesnu kulturu i sport,</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zaštitu potrošača,</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zaštitu i unapređenje prirodnog okoliša,</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protupožarnu zaštitu i civilnu zaštitu,</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promet na području Općine,</w:t>
      </w:r>
    </w:p>
    <w:p>
      <w:pPr>
        <w:pStyle w:val="ListParagraph"/>
        <w:numPr>
          <w:ilvl w:val="0"/>
          <w:numId w:val="5"/>
        </w:numPr>
        <w:bidi w:val="0"/>
        <w:spacing w:lineRule="auto" w:line="276" w:before="0" w:after="0"/>
        <w:contextualSpacing/>
        <w:jc w:val="both"/>
        <w:rPr>
          <w:rFonts w:ascii="Arial" w:hAnsi="Arial" w:cs="Arial"/>
          <w:sz w:val="24"/>
          <w:szCs w:val="24"/>
        </w:rPr>
      </w:pPr>
      <w:r>
        <w:rPr>
          <w:rFonts w:cs="Arial" w:ascii="Arial" w:hAnsi="Arial"/>
          <w:sz w:val="24"/>
          <w:szCs w:val="24"/>
        </w:rPr>
        <w:t>ostale poslove prema zakonu.</w:t>
      </w:r>
    </w:p>
    <w:p>
      <w:pPr>
        <w:pStyle w:val="Normal"/>
        <w:bidi w:val="0"/>
        <w:spacing w:lineRule="auto" w:line="276" w:before="0" w:after="0"/>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sz w:val="24"/>
          <w:szCs w:val="24"/>
        </w:rPr>
      </w:pPr>
      <w:r>
        <w:rPr>
          <w:rFonts w:cs="Arial" w:ascii="Arial" w:hAnsi="Arial"/>
          <w:sz w:val="24"/>
          <w:szCs w:val="24"/>
        </w:rPr>
        <w:t>Općinsko vijeće može odlučiti da se pojedini poslovi iz samoupravnog djelokruga  Općine, prethodno navedeni, prenesu na Vukovarsko-srijemsku županiju odnosno mjesnu samoupravu.</w:t>
      </w:r>
    </w:p>
    <w:p>
      <w:pPr>
        <w:pStyle w:val="Normal"/>
        <w:bidi w:val="0"/>
        <w:spacing w:before="0" w:after="0"/>
        <w:jc w:val="both"/>
        <w:rPr>
          <w:rFonts w:ascii="Arial" w:hAnsi="Arial"/>
          <w:sz w:val="24"/>
        </w:rPr>
      </w:pPr>
      <w:r>
        <w:rPr>
          <w:rFonts w:ascii="Arial" w:hAnsi="Arial"/>
          <w:sz w:val="24"/>
        </w:rPr>
      </w:r>
    </w:p>
    <w:p>
      <w:pPr>
        <w:pStyle w:val="Stilnaslova2"/>
        <w:numPr>
          <w:ilvl w:val="1"/>
          <w:numId w:val="3"/>
        </w:numPr>
        <w:bidi w:val="0"/>
        <w:spacing w:before="0" w:after="0"/>
        <w:rPr/>
      </w:pPr>
      <w:bookmarkStart w:id="5" w:name="_Toc203651344"/>
      <w:r>
        <w:rPr/>
        <w:t>Vizija</w:t>
      </w:r>
      <w:bookmarkEnd w:id="5"/>
    </w:p>
    <w:p>
      <w:pPr>
        <w:pStyle w:val="Normal"/>
        <w:bidi w:val="0"/>
        <w:spacing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Vizija je inspirativno viđenje odnosno deklaracija koja definira ono što se želi postići u dugoročnom razdoblju te služi kao jasan vodič za odabir ciljeva i postupaka djelovanja.</w:t>
      </w:r>
    </w:p>
    <w:p>
      <w:pPr>
        <w:pStyle w:val="Normal"/>
        <w:bidi w:val="0"/>
        <w:spacing w:before="0" w:after="0"/>
        <w:jc w:val="left"/>
        <w:rPr>
          <w:rFonts w:ascii="Arial" w:hAnsi="Arial"/>
          <w:sz w:val="24"/>
        </w:rPr>
      </w:pPr>
      <w:r>
        <w:rPr>
          <w:rFonts w:ascii="Arial" w:hAnsi="Arial"/>
          <w:sz w:val="24"/>
        </w:rPr>
      </w:r>
    </w:p>
    <w:p>
      <w:pPr>
        <w:pStyle w:val="Normal"/>
        <w:bidi w:val="0"/>
        <w:spacing w:before="0" w:after="0"/>
        <w:jc w:val="left"/>
        <w:rPr>
          <w:rFonts w:ascii="Arial" w:hAnsi="Arial"/>
          <w:sz w:val="24"/>
        </w:rPr>
      </w:pPr>
      <w:r>
        <w:rPr>
          <w:rFonts w:ascii="Arial" w:hAnsi="Arial"/>
          <w:sz w:val="24"/>
        </w:rPr>
        <w:t>Ključne značajke dobre vizije:</w:t>
      </w:r>
    </w:p>
    <w:p>
      <w:pPr>
        <w:pStyle w:val="ListParagraph"/>
        <w:numPr>
          <w:ilvl w:val="0"/>
          <w:numId w:val="6"/>
        </w:numPr>
        <w:bidi w:val="0"/>
        <w:spacing w:before="0" w:after="0"/>
        <w:contextualSpacing/>
        <w:jc w:val="left"/>
        <w:rPr>
          <w:rFonts w:ascii="Arial" w:hAnsi="Arial"/>
          <w:sz w:val="24"/>
        </w:rPr>
      </w:pPr>
      <w:r>
        <w:rPr>
          <w:rFonts w:ascii="Arial" w:hAnsi="Arial"/>
          <w:sz w:val="24"/>
        </w:rPr>
        <w:t>Usmjerena na budućnost</w:t>
      </w:r>
    </w:p>
    <w:p>
      <w:pPr>
        <w:pStyle w:val="ListParagraph"/>
        <w:numPr>
          <w:ilvl w:val="0"/>
          <w:numId w:val="6"/>
        </w:numPr>
        <w:bidi w:val="0"/>
        <w:spacing w:before="0" w:after="0"/>
        <w:contextualSpacing/>
        <w:jc w:val="left"/>
        <w:rPr>
          <w:rFonts w:ascii="Arial" w:hAnsi="Arial"/>
          <w:sz w:val="24"/>
        </w:rPr>
      </w:pPr>
      <w:r>
        <w:rPr>
          <w:rFonts w:ascii="Arial" w:hAnsi="Arial"/>
          <w:sz w:val="24"/>
        </w:rPr>
        <w:t>Jasna i razumljiva</w:t>
      </w:r>
    </w:p>
    <w:p>
      <w:pPr>
        <w:pStyle w:val="ListParagraph"/>
        <w:numPr>
          <w:ilvl w:val="0"/>
          <w:numId w:val="6"/>
        </w:numPr>
        <w:bidi w:val="0"/>
        <w:spacing w:before="0" w:after="0"/>
        <w:contextualSpacing/>
        <w:jc w:val="left"/>
        <w:rPr>
          <w:rFonts w:ascii="Arial" w:hAnsi="Arial"/>
          <w:sz w:val="24"/>
        </w:rPr>
      </w:pPr>
      <w:r>
        <w:rPr>
          <w:rFonts w:ascii="Arial" w:hAnsi="Arial"/>
          <w:sz w:val="24"/>
        </w:rPr>
        <w:t>Inspirativna i motivirajuća</w:t>
      </w:r>
    </w:p>
    <w:p>
      <w:pPr>
        <w:pStyle w:val="ListParagraph"/>
        <w:numPr>
          <w:ilvl w:val="0"/>
          <w:numId w:val="6"/>
        </w:numPr>
        <w:bidi w:val="0"/>
        <w:spacing w:before="0" w:after="0"/>
        <w:contextualSpacing/>
        <w:jc w:val="left"/>
        <w:rPr>
          <w:rFonts w:ascii="Arial" w:hAnsi="Arial"/>
          <w:sz w:val="24"/>
        </w:rPr>
      </w:pPr>
      <w:r>
        <w:rPr>
          <w:rFonts w:ascii="Arial" w:hAnsi="Arial"/>
          <w:sz w:val="24"/>
        </w:rPr>
        <w:t>Usklađena s realnim mogućnostima i planovima</w:t>
      </w:r>
    </w:p>
    <w:p>
      <w:pPr>
        <w:pStyle w:val="Normal"/>
        <w:bidi w:val="0"/>
        <w:spacing w:before="0" w:after="0"/>
        <w:jc w:val="left"/>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U kontekstu jedinice lokalne samouprave, vizija opisuje kakva zajednica želi postati, koje vrijednosti želi promicati, koje ciljeve želi ostvariti u odnosu na trenutno stanje i sve to uzimajući u obzir mogućnosti i prilike koje ima.</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Vizija Općine Negoslavci glasi:</w:t>
      </w:r>
    </w:p>
    <w:p>
      <w:pPr>
        <w:pStyle w:val="Normal"/>
        <w:bidi w:val="0"/>
        <w:spacing w:lineRule="auto" w:line="276" w:before="0" w:after="0"/>
        <w:jc w:val="both"/>
        <w:rPr>
          <w:rFonts w:ascii="Arial" w:hAnsi="Arial"/>
          <w:sz w:val="24"/>
        </w:rPr>
      </w:pPr>
      <w:r>
        <w:rPr>
          <w:rFonts w:ascii="Arial" w:hAnsi="Arial"/>
          <w:sz w:val="24"/>
        </w:rPr>
        <mc:AlternateContent>
          <mc:Choice Requires="wps">
            <w:drawing>
              <wp:anchor behindDoc="0" distT="1270" distB="0" distL="635" distR="635" simplePos="0" locked="0" layoutInCell="0" allowOverlap="1" relativeHeight="3" wp14:anchorId="1BD22ED2">
                <wp:simplePos x="0" y="0"/>
                <wp:positionH relativeFrom="margin">
                  <wp:posOffset>-1905</wp:posOffset>
                </wp:positionH>
                <wp:positionV relativeFrom="paragraph">
                  <wp:posOffset>202565</wp:posOffset>
                </wp:positionV>
                <wp:extent cx="5975350" cy="1337945"/>
                <wp:effectExtent l="635" t="1270" r="635" b="0"/>
                <wp:wrapNone/>
                <wp:docPr id="2" name="Zaobljeni pravokutnik 3"/>
                <a:graphic xmlns:a="http://schemas.openxmlformats.org/drawingml/2006/main">
                  <a:graphicData uri="http://schemas.microsoft.com/office/word/2010/wordprocessingShape">
                    <wps:wsp>
                      <wps:cNvSpPr/>
                      <wps:spPr>
                        <a:xfrm>
                          <a:off x="0" y="0"/>
                          <a:ext cx="5975280" cy="1338120"/>
                        </a:xfrm>
                        <a:prstGeom prst="roundRect">
                          <a:avLst>
                            <a:gd name="adj" fmla="val 16667"/>
                          </a:avLst>
                        </a:prstGeom>
                        <a:solidFill>
                          <a:srgbClr val="c00000"/>
                        </a:solidFill>
                        <a:ln w="6350">
                          <a:noFill/>
                        </a:ln>
                        <a:effectLst>
                          <a:softEdge rad="31680"/>
                        </a:effectLst>
                      </wps:spPr>
                      <wps:style>
                        <a:lnRef idx="0"/>
                        <a:fillRef idx="0"/>
                        <a:effectRef idx="0"/>
                        <a:fontRef idx="minor"/>
                      </wps:style>
                      <wps:txbx>
                        <w:txbxContent>
                          <w:p>
                            <w:pPr>
                              <w:pStyle w:val="Sadrajokvira"/>
                              <w:bidi w:val="0"/>
                              <w:jc w:val="center"/>
                              <w:rPr>
                                <w:rFonts w:ascii="Bahnschrift" w:hAnsi="Bahnschrift"/>
                                <w:b/>
                                <w:b/>
                                <w:color w:val="000000"/>
                                <w:sz w:val="24"/>
                                <w:szCs w:val="24"/>
                              </w:rPr>
                            </w:pPr>
                            <w:r>
                              <w:rPr>
                                <w:rFonts w:ascii="Bahnschrift" w:hAnsi="Bahnschrift"/>
                                <w:b/>
                                <w:color w:val="000000"/>
                                <w:sz w:val="24"/>
                                <w:szCs w:val="24"/>
                              </w:rPr>
                              <w:t>Općina Negoslavci vidi svoju budućnost kao održivu, povezanu i uključivu zajednicu, usmjerenu na stvaranje kvalitetne komunalne, stambene, kulturne i društvene infrastrukture s ciljem zadržavanja stanovništva i poboljšanja kvalitete života. Uključivanjem građana u sve razvojne procese, Općina nastoji graditi prostor po mjeri čovjeka – funkcionalan, živ i otvoren za sve generacije.</w:t>
                            </w:r>
                          </w:p>
                        </w:txbxContent>
                      </wps:txbx>
                      <wps:bodyPr anchor="ctr">
                        <a:prstTxWarp prst="textNoShape"/>
                        <a:noAutofit/>
                      </wps:bodyPr>
                    </wps:wsp>
                  </a:graphicData>
                </a:graphic>
              </wp:anchor>
            </w:drawing>
          </mc:Choice>
          <mc:Fallback>
            <w:pict/>
          </mc:Fallback>
        </mc:AlternateContent>
      </w:r>
    </w:p>
    <w:p>
      <w:pPr>
        <w:pStyle w:val="Normal"/>
        <w:bidi w:val="0"/>
        <w:spacing w:lineRule="auto" w:line="276" w:before="0" w:after="0"/>
        <w:jc w:val="both"/>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both"/>
        <w:rPr>
          <w:rFonts w:ascii="Arial" w:hAnsi="Arial"/>
          <w:sz w:val="24"/>
        </w:rPr>
      </w:pPr>
      <w:r>
        <w:rPr>
          <w:rFonts w:ascii="Arial" w:hAnsi="Arial"/>
          <w:sz w:val="24"/>
        </w:rPr>
      </w:r>
    </w:p>
    <w:p>
      <w:pPr>
        <w:pStyle w:val="Stilnaslova2"/>
        <w:numPr>
          <w:ilvl w:val="1"/>
          <w:numId w:val="3"/>
        </w:numPr>
        <w:bidi w:val="0"/>
        <w:spacing w:before="0" w:after="0"/>
        <w:rPr/>
      </w:pPr>
      <w:bookmarkStart w:id="6" w:name="_Toc203651345"/>
      <w:r>
        <w:rPr/>
        <w:t>Mandat i misija</w:t>
      </w:r>
      <w:bookmarkEnd w:id="6"/>
    </w:p>
    <w:p>
      <w:pPr>
        <w:pStyle w:val="Normal"/>
        <w:bidi w:val="0"/>
        <w:spacing w:lineRule="auto" w:line="276" w:before="0" w:after="0"/>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sz w:val="24"/>
          <w:szCs w:val="24"/>
        </w:rPr>
      </w:pPr>
      <w:r>
        <w:rPr>
          <w:rFonts w:cs="Arial" w:ascii="Arial" w:hAnsi="Arial"/>
          <w:sz w:val="24"/>
          <w:szCs w:val="24"/>
        </w:rPr>
        <w:t>Zakonom o lokalnoj i područnoj (regionalnoj) samoupravi („Narodne novine” broj 33/01, 60/01, 129/05, 109/07, 125/08, 36/09, 150/11, 144/12, 19/13, 137/15,  123/17, 98/19, 144/20)</w:t>
      </w:r>
      <w:r>
        <w:rPr/>
        <w:t xml:space="preserve"> </w:t>
      </w:r>
      <w:r>
        <w:rPr>
          <w:rFonts w:cs="Arial" w:ascii="Arial" w:hAnsi="Arial"/>
          <w:sz w:val="24"/>
          <w:szCs w:val="24"/>
        </w:rPr>
        <w:t>uređuju se jedinice lokalne samouprave i jedinice područne (regionalne) samouprave, njihov djelokrug i ustrojstvo, način rada njihovih tijela, nadzor nad njihovim aktima i radom te druga pitanja od značenja za njihov rad.</w:t>
      </w:r>
    </w:p>
    <w:p>
      <w:pPr>
        <w:pStyle w:val="Normal"/>
        <w:bidi w:val="0"/>
        <w:spacing w:lineRule="auto" w:line="276" w:before="0" w:after="0"/>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sz w:val="24"/>
          <w:szCs w:val="24"/>
        </w:rPr>
      </w:pPr>
      <w:r>
        <w:rPr>
          <w:rFonts w:cs="Arial" w:ascii="Arial" w:hAnsi="Arial"/>
          <w:sz w:val="24"/>
          <w:szCs w:val="24"/>
        </w:rPr>
        <w:t>Općina je jedinica lokalne samouprave koja se osniva, u pravilu, za područje više naseljenih mjesta koja predstavljaju prirodnu, gospodarsku i društvenu cjelinu, te koja su povezana zajedničkim interesima stanovništva.</w:t>
      </w:r>
    </w:p>
    <w:p>
      <w:pPr>
        <w:pStyle w:val="Normal"/>
        <w:bidi w:val="0"/>
        <w:spacing w:lineRule="auto" w:line="276" w:before="0" w:after="0"/>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color w:val="000000" w:themeColor="text1"/>
          <w:sz w:val="24"/>
          <w:szCs w:val="24"/>
        </w:rPr>
      </w:pPr>
      <w:r>
        <w:rPr>
          <w:rFonts w:cs="Arial" w:ascii="Arial" w:hAnsi="Arial"/>
          <w:color w:val="000000" w:themeColor="text1"/>
          <w:sz w:val="24"/>
          <w:szCs w:val="24"/>
        </w:rPr>
        <w:t>Temeljem odredbi članka 94. Zakona o lokalnim izborima ("Narodne novine" broj 144/12, 121/16, 98/19, 42/20, 144/20, 37/21) na izborima za općinskog načelnika Općine Negoslavci izabran je Dušan Jeckov.</w:t>
      </w:r>
    </w:p>
    <w:p>
      <w:pPr>
        <w:pStyle w:val="Normal"/>
        <w:bidi w:val="0"/>
        <w:spacing w:lineRule="auto" w:line="276" w:before="0" w:after="0"/>
        <w:jc w:val="both"/>
        <w:rPr>
          <w:rFonts w:ascii="Arial" w:hAnsi="Arial" w:cs="Arial"/>
          <w:color w:val="FF0000"/>
          <w:sz w:val="24"/>
          <w:szCs w:val="24"/>
        </w:rPr>
      </w:pPr>
      <w:r>
        <w:rPr>
          <w:rFonts w:cs="Arial" w:ascii="Arial" w:hAnsi="Arial"/>
          <w:color w:val="FF0000"/>
          <w:sz w:val="24"/>
          <w:szCs w:val="24"/>
        </w:rPr>
      </w:r>
    </w:p>
    <w:p>
      <w:pPr>
        <w:pStyle w:val="Normal"/>
        <w:bidi w:val="0"/>
        <w:spacing w:lineRule="auto" w:line="276" w:before="0" w:after="0"/>
        <w:jc w:val="both"/>
        <w:rPr>
          <w:rFonts w:ascii="Arial" w:hAnsi="Arial" w:cs="Arial"/>
          <w:color w:val="000000" w:themeColor="text1"/>
          <w:sz w:val="24"/>
          <w:szCs w:val="24"/>
        </w:rPr>
      </w:pPr>
      <w:r>
        <w:rPr>
          <w:rFonts w:cs="Arial" w:ascii="Arial" w:hAnsi="Arial"/>
          <w:color w:val="000000" w:themeColor="text1"/>
          <w:sz w:val="24"/>
          <w:szCs w:val="24"/>
        </w:rPr>
        <w:t>Ovaj provedbeni program donosi se za razdoblje od 2025. do 2029. godine i vrijedi za mandatno razdoblje čelnika (općinskog načelnika Općine Negoslavci).</w:t>
      </w:r>
    </w:p>
    <w:p>
      <w:pPr>
        <w:pStyle w:val="Normal"/>
        <w:bidi w:val="0"/>
        <w:spacing w:lineRule="auto" w:line="276" w:before="0" w:after="0"/>
        <w:jc w:val="both"/>
        <w:rPr>
          <w:rFonts w:ascii="Arial" w:hAnsi="Arial" w:cs="Arial"/>
          <w:color w:val="FF0000"/>
          <w:sz w:val="24"/>
          <w:szCs w:val="24"/>
        </w:rPr>
      </w:pPr>
      <w:r>
        <w:rPr>
          <w:rFonts w:cs="Arial" w:ascii="Arial" w:hAnsi="Arial"/>
          <w:color w:val="FF0000"/>
          <w:sz w:val="24"/>
          <w:szCs w:val="24"/>
        </w:rPr>
      </w:r>
    </w:p>
    <w:p>
      <w:pPr>
        <w:pStyle w:val="Normal"/>
        <w:bidi w:val="0"/>
        <w:spacing w:lineRule="auto" w:line="276" w:before="0" w:after="0"/>
        <w:jc w:val="both"/>
        <w:rPr>
          <w:rFonts w:ascii="Arial" w:hAnsi="Arial" w:cs="Arial"/>
          <w:color w:val="000000" w:themeColor="text1"/>
          <w:sz w:val="24"/>
          <w:szCs w:val="24"/>
        </w:rPr>
      </w:pPr>
      <w:r>
        <w:rPr>
          <w:rFonts w:cs="Arial" w:ascii="Arial" w:hAnsi="Arial"/>
          <w:color w:val="000000" w:themeColor="text1"/>
          <w:sz w:val="24"/>
          <w:szCs w:val="24"/>
        </w:rPr>
        <w:t>Misija je glavni razlog ustrojavanja i djelovanja Općine, a njome se opisuje način na koji Općina namjerava pridonijeti ostvarivanju vizije. Izjavom o misiji potrebno je opisati što Općina radi, za koga (ili što) to radi i općenito kako to radi.</w:t>
      </w:r>
    </w:p>
    <w:p>
      <w:pPr>
        <w:pStyle w:val="Normal"/>
        <w:bidi w:val="0"/>
        <w:spacing w:before="0" w:after="0"/>
        <w:jc w:val="both"/>
        <w:rPr>
          <w:rFonts w:ascii="Arial" w:hAnsi="Arial"/>
          <w:sz w:val="24"/>
        </w:rPr>
      </w:pPr>
      <w:r>
        <w:rPr>
          <w:rFonts w:ascii="Arial" w:hAnsi="Arial"/>
          <w:sz w:val="24"/>
        </w:rPr>
      </w:r>
    </w:p>
    <w:p>
      <w:pPr>
        <w:pStyle w:val="Normal"/>
        <w:bidi w:val="0"/>
        <w:spacing w:before="0" w:after="0"/>
        <w:jc w:val="both"/>
        <w:rPr>
          <w:rFonts w:ascii="Arial" w:hAnsi="Arial"/>
          <w:sz w:val="24"/>
        </w:rPr>
      </w:pPr>
      <w:r>
        <w:rPr>
          <w:rFonts w:ascii="Arial" w:hAnsi="Arial"/>
          <w:sz w:val="24"/>
        </w:rPr>
        <w:t>Misija Općine Negoslavci glasi:</w:t>
      </w:r>
    </w:p>
    <w:p>
      <w:pPr>
        <w:pStyle w:val="Normal"/>
        <w:bidi w:val="0"/>
        <w:spacing w:before="0" w:after="0"/>
        <w:jc w:val="center"/>
        <w:rPr>
          <w:rFonts w:ascii="Arial" w:hAnsi="Arial"/>
          <w:sz w:val="24"/>
        </w:rPr>
      </w:pPr>
      <w:r>
        <w:rPr>
          <w:rFonts w:ascii="Arial" w:hAnsi="Arial"/>
          <w:sz w:val="24"/>
        </w:rPr>
        <mc:AlternateContent>
          <mc:Choice Requires="wps">
            <w:drawing>
              <wp:anchor behindDoc="0" distT="635" distB="635" distL="635" distR="635" simplePos="0" locked="0" layoutInCell="0" allowOverlap="1" relativeHeight="5" wp14:anchorId="187124BF">
                <wp:simplePos x="0" y="0"/>
                <wp:positionH relativeFrom="margin">
                  <wp:posOffset>-1905</wp:posOffset>
                </wp:positionH>
                <wp:positionV relativeFrom="paragraph">
                  <wp:posOffset>188595</wp:posOffset>
                </wp:positionV>
                <wp:extent cx="5975350" cy="1659890"/>
                <wp:effectExtent l="635" t="635" r="635" b="635"/>
                <wp:wrapNone/>
                <wp:docPr id="4" name="Zaobljeni pravokutnik 1"/>
                <a:graphic xmlns:a="http://schemas.openxmlformats.org/drawingml/2006/main">
                  <a:graphicData uri="http://schemas.microsoft.com/office/word/2010/wordprocessingShape">
                    <wps:wsp>
                      <wps:cNvSpPr/>
                      <wps:spPr>
                        <a:xfrm>
                          <a:off x="0" y="0"/>
                          <a:ext cx="5975280" cy="1659960"/>
                        </a:xfrm>
                        <a:prstGeom prst="roundRect">
                          <a:avLst>
                            <a:gd name="adj" fmla="val 16667"/>
                          </a:avLst>
                        </a:prstGeom>
                        <a:solidFill>
                          <a:srgbClr val="c00000"/>
                        </a:solidFill>
                        <a:ln w="6350">
                          <a:noFill/>
                        </a:ln>
                        <a:effectLst>
                          <a:softEdge rad="31680"/>
                        </a:effectLst>
                      </wps:spPr>
                      <wps:style>
                        <a:lnRef idx="0"/>
                        <a:fillRef idx="0"/>
                        <a:effectRef idx="0"/>
                        <a:fontRef idx="minor"/>
                      </wps:style>
                      <wps:txbx>
                        <w:txbxContent>
                          <w:p>
                            <w:pPr>
                              <w:pStyle w:val="Sadrajokvira"/>
                              <w:bidi w:val="0"/>
                              <w:jc w:val="center"/>
                              <w:rPr>
                                <w:rFonts w:ascii="Bahnschrift" w:hAnsi="Bahnschrift"/>
                                <w:b/>
                                <w:b/>
                                <w:color w:val="FFFFFF" w:themeColor="background1"/>
                                <w:sz w:val="24"/>
                                <w:szCs w:val="24"/>
                              </w:rPr>
                            </w:pPr>
                            <w:r>
                              <w:rPr>
                                <w:rFonts w:ascii="Bahnschrift" w:hAnsi="Bahnschrift"/>
                                <w:b/>
                                <w:color w:val="FFFFFF" w:themeColor="background1"/>
                                <w:sz w:val="24"/>
                                <w:szCs w:val="24"/>
                              </w:rPr>
                              <w:t>Misija Općine Negoslavci je, kroz obavljanje poslova iz samoupravnog djelokruga, na zakonit, učinkovit, ekonomičan i transparentan način, unaprjeđivati kvalitetu života i rada svih svojih građana. Pružanjem javnih usluga visoke kvalitete, razvojem komunalne, društvene i stambene infrastrukture te poticanjem aktivnog sudjelovanja zajednice, Općina nastoji osigurati dugoročni prosperitet, društvenu uključenost i zadovoljstvo svih stanovnika, uz poseban naglasak na zadržavanje ljudi i razvoj lokalnog gospodarstva.</w:t>
                            </w:r>
                          </w:p>
                        </w:txbxContent>
                      </wps:txbx>
                      <wps:bodyPr anchor="ctr">
                        <a:prstTxWarp prst="textNoShape"/>
                        <a:noAutofit/>
                      </wps:bodyPr>
                    </wps:wsp>
                  </a:graphicData>
                </a:graphic>
              </wp:anchor>
            </w:drawing>
          </mc:Choice>
          <mc:Fallback>
            <w:pict/>
          </mc:Fallback>
        </mc:AlternateContent>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Normal"/>
        <w:bidi w:val="0"/>
        <w:spacing w:before="0" w:after="0"/>
        <w:jc w:val="center"/>
        <w:rPr>
          <w:rFonts w:ascii="Arial" w:hAnsi="Arial"/>
          <w:sz w:val="24"/>
        </w:rPr>
      </w:pPr>
      <w:r>
        <w:rPr>
          <w:rFonts w:ascii="Arial" w:hAnsi="Arial"/>
          <w:sz w:val="24"/>
        </w:rPr>
      </w:r>
    </w:p>
    <w:p>
      <w:pPr>
        <w:pStyle w:val="Stilnaslova2"/>
        <w:numPr>
          <w:ilvl w:val="1"/>
          <w:numId w:val="3"/>
        </w:numPr>
        <w:bidi w:val="0"/>
        <w:spacing w:before="0" w:after="0"/>
        <w:rPr/>
      </w:pPr>
      <w:bookmarkStart w:id="7" w:name="_Toc203651346"/>
      <w:r>
        <w:rPr/>
        <w:t>Proračunski korisnici i druge pravne osobe u nadležnosti</w:t>
      </w:r>
      <w:bookmarkEnd w:id="7"/>
    </w:p>
    <w:p>
      <w:pPr>
        <w:pStyle w:val="Normal"/>
        <w:bidi w:val="0"/>
        <w:spacing w:lineRule="auto" w:line="276" w:before="0" w:after="0"/>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sz w:val="24"/>
          <w:szCs w:val="24"/>
        </w:rPr>
      </w:pPr>
      <w:r>
        <w:rPr>
          <w:rFonts w:cs="Arial" w:ascii="Arial" w:hAnsi="Arial"/>
          <w:sz w:val="24"/>
          <w:szCs w:val="24"/>
        </w:rPr>
        <w:t>Pravilnikom o utvrđivanju proračunskih i izvanproračunskih korisnika državnog proračuna i proračunskih i izvanproračunskih korisnika proračuna jedinica lokalne i područne (regionalne) samouprave te o načinu vođenja Registra proračunskih i izvanproračunskih korisnika utvrđuju se proračunski i izvanproračunski korisnici državnog proračuna i proračunski i izvanproračunski korisnici proračuna jedinica lokalne i područne (regionalne) samouprave te način vođenja Registra proračunskih i</w:t>
      </w:r>
    </w:p>
    <w:p>
      <w:pPr>
        <w:pStyle w:val="Normal"/>
        <w:bidi w:val="0"/>
        <w:spacing w:lineRule="auto" w:line="276" w:before="0" w:after="0"/>
        <w:jc w:val="both"/>
        <w:rPr>
          <w:rFonts w:ascii="Arial" w:hAnsi="Arial" w:cs="Arial"/>
          <w:sz w:val="24"/>
          <w:szCs w:val="24"/>
        </w:rPr>
      </w:pPr>
      <w:r>
        <w:rPr>
          <w:rFonts w:cs="Arial" w:ascii="Arial" w:hAnsi="Arial"/>
          <w:sz w:val="24"/>
          <w:szCs w:val="24"/>
        </w:rPr>
        <w:t>izvanproračunskih korisnika.</w:t>
      </w:r>
    </w:p>
    <w:p>
      <w:pPr>
        <w:pStyle w:val="Normal"/>
        <w:bidi w:val="0"/>
        <w:spacing w:lineRule="auto" w:line="276" w:before="0" w:after="0"/>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sz w:val="24"/>
          <w:szCs w:val="24"/>
        </w:rPr>
      </w:pPr>
      <w:r>
        <w:rPr>
          <w:rFonts w:cs="Arial" w:ascii="Arial" w:hAnsi="Arial"/>
          <w:sz w:val="24"/>
          <w:szCs w:val="24"/>
        </w:rPr>
        <w:t>Proračunski korisnici državnog proračuna i proračunski korisnici proračuna jedinica lokalne i područne (regionalne) samouprave jesu državna tijela, ustanove, vijeća manjinske samouprave, proračunski fondovi i mjesna samouprava čiji se rashodi za zaposlene i/ili materijalni rashodi osiguravaju u proračunu.</w:t>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bidi w:val="0"/>
        <w:spacing w:lineRule="auto" w:line="276" w:before="0" w:after="0"/>
        <w:jc w:val="both"/>
        <w:rPr>
          <w:rFonts w:ascii="Arial" w:hAnsi="Arial" w:eastAsia="Arial" w:cs="Arial"/>
          <w:color w:val="FF0000"/>
          <w:sz w:val="24"/>
          <w:szCs w:val="24"/>
        </w:rPr>
      </w:pPr>
      <w:r>
        <w:rPr>
          <w:rFonts w:eastAsia="Arial" w:cs="Arial" w:ascii="Arial" w:hAnsi="Arial"/>
          <w:color w:val="000000"/>
          <w:sz w:val="24"/>
          <w:szCs w:val="24"/>
        </w:rPr>
        <w:t>Trgovačka društva u kojima Općina Negoslavci ima vlasnički udio, vrlo su važna za zapošljavanje te znatno pridonose cjelokupnoj gospodarskoj aktivnosti, posebno stoga što pružaju usluge od javnog interesa s osobinama javnog dobra</w:t>
      </w:r>
      <w:r>
        <w:rPr>
          <w:rFonts w:eastAsia="Arial" w:cs="Arial" w:ascii="Arial" w:hAnsi="Arial"/>
          <w:color w:val="FF0000"/>
          <w:sz w:val="24"/>
          <w:szCs w:val="24"/>
        </w:rPr>
        <w:t>.</w:t>
      </w:r>
    </w:p>
    <w:p>
      <w:pPr>
        <w:pStyle w:val="Normal"/>
        <w:bidi w:val="0"/>
        <w:spacing w:lineRule="auto" w:line="276" w:before="0" w:after="0"/>
        <w:jc w:val="both"/>
        <w:rPr>
          <w:rFonts w:ascii="Arial" w:hAnsi="Arial" w:eastAsia="Arial" w:cs="Arial"/>
          <w:color w:val="FF0000"/>
          <w:sz w:val="24"/>
          <w:szCs w:val="24"/>
        </w:rPr>
      </w:pPr>
      <w:r>
        <w:rPr>
          <w:rFonts w:eastAsia="Arial" w:cs="Arial" w:ascii="Arial" w:hAnsi="Arial"/>
          <w:color w:val="FF0000"/>
          <w:sz w:val="24"/>
          <w:szCs w:val="24"/>
        </w:rPr>
      </w:r>
    </w:p>
    <w:p>
      <w:pPr>
        <w:pStyle w:val="Normal"/>
        <w:bidi w:val="0"/>
        <w:spacing w:lineRule="auto" w:line="276" w:before="0" w:after="0"/>
        <w:jc w:val="both"/>
        <w:rPr>
          <w:rFonts w:ascii="Arial" w:hAnsi="Arial" w:cs="Arial"/>
          <w:color w:val="000000" w:themeColor="text1"/>
          <w:sz w:val="24"/>
          <w:szCs w:val="24"/>
        </w:rPr>
      </w:pPr>
      <w:r>
        <w:rPr>
          <w:rFonts w:eastAsia="Arial" w:cs="Arial" w:ascii="Arial" w:hAnsi="Arial"/>
          <w:color w:val="000000" w:themeColor="text1"/>
          <w:sz w:val="24"/>
          <w:szCs w:val="24"/>
        </w:rPr>
        <w:t>Općina Negoslavci nema proračunskih korisnika niti vlasničkih udjela u trgovačkim društvima.</w:t>
      </w:r>
    </w:p>
    <w:p>
      <w:pPr>
        <w:pStyle w:val="Normal"/>
        <w:bidi w:val="0"/>
        <w:spacing w:before="0" w:after="0"/>
        <w:jc w:val="left"/>
        <w:rPr>
          <w:rFonts w:ascii="Arial" w:hAnsi="Arial" w:cs="Arial"/>
          <w:sz w:val="24"/>
          <w:szCs w:val="24"/>
        </w:rPr>
      </w:pPr>
      <w:r>
        <w:rPr>
          <w:rFonts w:cs="Arial" w:ascii="Arial" w:hAnsi="Arial"/>
          <w:sz w:val="24"/>
          <w:szCs w:val="24"/>
        </w:rPr>
      </w:r>
    </w:p>
    <w:p>
      <w:pPr>
        <w:pStyle w:val="Stilnaslova2"/>
        <w:numPr>
          <w:ilvl w:val="1"/>
          <w:numId w:val="3"/>
        </w:numPr>
        <w:bidi w:val="0"/>
        <w:spacing w:before="0" w:after="0"/>
        <w:rPr/>
      </w:pPr>
      <w:bookmarkStart w:id="8" w:name="_Toc203651347"/>
      <w:r>
        <w:rPr/>
        <w:t>Organizacijska struktura Općine Negoslavci</w:t>
      </w:r>
      <w:bookmarkEnd w:id="8"/>
    </w:p>
    <w:p>
      <w:pPr>
        <w:pStyle w:val="Normal"/>
        <w:bidi w:val="0"/>
        <w:jc w:val="left"/>
        <w:rPr/>
      </w:pPr>
      <w:r>
        <w:rPr/>
      </w:r>
    </w:p>
    <w:p>
      <w:pPr>
        <w:pStyle w:val="Normal"/>
        <w:bidi w:val="0"/>
        <w:spacing w:before="0" w:after="0"/>
        <w:jc w:val="center"/>
        <w:rPr>
          <w:rFonts w:ascii="Arial" w:hAnsi="Arial"/>
          <w:sz w:val="24"/>
        </w:rPr>
      </w:pPr>
      <w:r>
        <w:rPr/>
        <w:drawing>
          <wp:inline distT="0" distB="0" distL="0" distR="0">
            <wp:extent cx="5601335" cy="3566160"/>
            <wp:effectExtent l="0" t="0" r="0" b="0"/>
            <wp:docPr id="6" name="Slika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3" descr=""/>
                    <pic:cNvPicPr>
                      <a:picLocks noChangeAspect="1" noChangeArrowheads="1"/>
                    </pic:cNvPicPr>
                  </pic:nvPicPr>
                  <pic:blipFill>
                    <a:blip r:embed="rId3"/>
                    <a:stretch>
                      <a:fillRect/>
                    </a:stretch>
                  </pic:blipFill>
                  <pic:spPr bwMode="auto">
                    <a:xfrm>
                      <a:off x="0" y="0"/>
                      <a:ext cx="5601335" cy="3566160"/>
                    </a:xfrm>
                    <a:prstGeom prst="rect">
                      <a:avLst/>
                    </a:prstGeom>
                  </pic:spPr>
                </pic:pic>
              </a:graphicData>
            </a:graphic>
          </wp:inline>
        </w:drawing>
      </w:r>
    </w:p>
    <w:p>
      <w:pPr>
        <w:pStyle w:val="Normal"/>
        <w:bidi w:val="0"/>
        <w:spacing w:before="0" w:after="0"/>
        <w:jc w:val="left"/>
        <w:rPr>
          <w:rFonts w:ascii="Arial" w:hAnsi="Arial"/>
          <w:sz w:val="24"/>
        </w:rPr>
      </w:pPr>
      <w:r>
        <w:rPr>
          <w:rFonts w:ascii="Arial" w:hAnsi="Arial"/>
          <w:sz w:val="24"/>
        </w:rPr>
      </w:r>
    </w:p>
    <w:p>
      <w:pPr>
        <w:pStyle w:val="Stilnaslova1"/>
        <w:numPr>
          <w:ilvl w:val="0"/>
          <w:numId w:val="3"/>
        </w:numPr>
        <w:bidi w:val="0"/>
        <w:jc w:val="left"/>
        <w:rPr/>
      </w:pPr>
      <w:bookmarkStart w:id="9" w:name="_Toc203651348"/>
      <w:r>
        <w:rPr/>
        <w:t>OPIS KRATKOROČNIH RAZVOJNIH IZAZOVA I POTENCIJALA U SAMOUPRAVNOM PODRUČJU JLS</w:t>
      </w:r>
      <w:bookmarkEnd w:id="9"/>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U ovom poglavlju su opisane razvojne potrebe i potencijali na koje će Općina Negoslavci usmjeriti svoje aktivnosti, te su naglašeni glavni izazovi koji se namjeravaju otkloniti u području politika iz nadležnosti Općine u mandatnom razdoblju.</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Općina Negoslavci posjeduje niz razvojnih potreba, ali i značajnih potencijala koji, ako se strateški iskoriste, mogu doprinijeti stabilnijem razvoju i jačanju kvalitete života lokalnog stanovništva.</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b/>
          <w:b/>
          <w:bCs/>
          <w:sz w:val="24"/>
        </w:rPr>
      </w:pPr>
      <w:r>
        <w:rPr>
          <w:rFonts w:ascii="Arial" w:hAnsi="Arial"/>
          <w:b/>
          <w:bCs/>
          <w:sz w:val="24"/>
        </w:rPr>
        <w:t>Geoprometni položaj i prirodno-geografska obilježja</w:t>
      </w:r>
    </w:p>
    <w:p>
      <w:pPr>
        <w:pStyle w:val="Normal"/>
        <w:bidi w:val="0"/>
        <w:spacing w:lineRule="auto" w:line="276" w:before="0" w:after="0"/>
        <w:jc w:val="both"/>
        <w:rPr>
          <w:rFonts w:ascii="Arial" w:hAnsi="Arial"/>
          <w:b/>
          <w:b/>
          <w:bCs/>
          <w:sz w:val="24"/>
        </w:rPr>
      </w:pPr>
      <w:r>
        <w:rPr>
          <w:rFonts w:ascii="Arial" w:hAnsi="Arial"/>
          <w:b/>
          <w:bCs/>
          <w:sz w:val="24"/>
        </w:rPr>
      </w:r>
    </w:p>
    <w:p>
      <w:pPr>
        <w:pStyle w:val="Normal"/>
        <w:bidi w:val="0"/>
        <w:spacing w:lineRule="auto" w:line="276" w:before="0" w:after="0"/>
        <w:jc w:val="both"/>
        <w:rPr>
          <w:rFonts w:ascii="Arial" w:hAnsi="Arial"/>
          <w:sz w:val="24"/>
        </w:rPr>
      </w:pPr>
      <w:r>
        <w:rPr>
          <w:rFonts w:ascii="Arial" w:hAnsi="Arial"/>
          <w:sz w:val="24"/>
        </w:rPr>
        <w:t>Općina Negoslavci smještena je u istočnom dijelu Republike Hrvatske, unutar Vukovarsko-srijemske županije, na području koje se nalazi neposredno uz grad Vukovar i u blizini državne granice sa Srbijom. Ovaj položaj omogućuje stratešku dostupnost regionalnim prometnim pravcima, uključujući kopnene i potencijalne prekogranične koridore, te predstavlja jednu od ključnih razvojnih prednosti ove općine.</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Upravo zbog takvog geopolitičkog smještaja, razvojne potrebe Općine Negoslavci usmjerene su prema boljem iskorištavanju dostupnosti regionalnim središtima kroz unapređenje prometne infrastrukture, bolju prometnu integraciju s okruženjem, osobito u smislu javnog prijevoza i povezivanja ruralnih područja.</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Također, prirodna obilježja prostora, posebno plodno poljoprivredno zemljište i ravničarski reljef, predstavljaju važan potencijal za razvoj poljoprivrede, osobito u smjeru modernih, održivih i ekološki prihvatljivih praksi. Međutim, to sa sobom povlači potrebu za odgovornim gospodarenjem prostorom, očuvanjem okoliša i prilagodbom klimatskim izazovima, poput ekstremnih vremenskih uvjeta i problema s vodnim režimima.</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Uz to, prirodno okruženje nudi i prostor za razvoj rekreativnih sadržaja, zelenih površina te potencijal za male oblike seoskog i ruralnog turizma, koji mogu obogatiti društveni i gospodarski život zajednice. Blizina granice i mogućnosti prekogranične suradnje s Republikom Srbijom također se mogu iskoristiti za zajedničke projekte koji uključuju promet, zaštitu okoliša, kulturnu razmjenu i gospodarsku suradnju.</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b/>
          <w:b/>
          <w:bCs/>
          <w:sz w:val="24"/>
        </w:rPr>
      </w:pPr>
      <w:r>
        <w:rPr>
          <w:rFonts w:ascii="Arial" w:hAnsi="Arial"/>
          <w:b/>
          <w:bCs/>
          <w:sz w:val="24"/>
        </w:rPr>
        <w:t>Demografski izazovi i društvena kohezija</w:t>
      </w:r>
    </w:p>
    <w:p>
      <w:pPr>
        <w:pStyle w:val="Normal"/>
        <w:bidi w:val="0"/>
        <w:spacing w:lineRule="auto" w:line="276" w:before="0" w:after="0"/>
        <w:jc w:val="both"/>
        <w:rPr>
          <w:rFonts w:ascii="Arial" w:hAnsi="Arial"/>
          <w:b/>
          <w:b/>
          <w:bCs/>
          <w:sz w:val="24"/>
        </w:rPr>
      </w:pPr>
      <w:r>
        <w:rPr>
          <w:rFonts w:ascii="Arial" w:hAnsi="Arial"/>
          <w:b/>
          <w:bCs/>
          <w:sz w:val="24"/>
        </w:rPr>
      </w:r>
    </w:p>
    <w:p>
      <w:pPr>
        <w:pStyle w:val="Normal"/>
        <w:bidi w:val="0"/>
        <w:spacing w:lineRule="auto" w:line="276" w:before="0" w:after="0"/>
        <w:jc w:val="both"/>
        <w:rPr>
          <w:rFonts w:ascii="Arial" w:hAnsi="Arial"/>
          <w:sz w:val="24"/>
        </w:rPr>
      </w:pPr>
      <w:r>
        <w:rPr>
          <w:rFonts w:ascii="Arial" w:hAnsi="Arial"/>
          <w:sz w:val="24"/>
        </w:rPr>
        <w:t>Poput mnogih manjih općina u Slavoniji, i Negoslavci se suočavaju s izraženim demografskim padom. Među ključnim razvojnim potrebama ističe se zaustavljanje iseljavanja, posebice mladih i radno sposobnih osoba koje napuštaju općinu u potrazi za boljim uvjetima života. Također, nužno je poticati povratak iseljenih stanovnika te privući nove obitelji koje bi ovdje stvarale dom i budućnost. U tom kontekstu, jačanje međugeneracijske solidarnosti i skrbi za starije osobe ima važnu ulogu u očuvanju društvene povezanosti i izgradnji održive lokalne zajednice.</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Unatoč izazovima, razvojni potencijali postoje – posebno u bogatoj društvenoj mreži, mogućnosti aktiviranja povratničkih programa, kao i povoljnim uvjetima za mlade obitelji ukoliko im se osiguraju adekvatne mjere potpore, stanovanje, radna mjesta i dostupne javne usluge.</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b/>
          <w:b/>
          <w:bCs/>
          <w:sz w:val="24"/>
        </w:rPr>
      </w:pPr>
      <w:r>
        <w:rPr>
          <w:rFonts w:ascii="Arial" w:hAnsi="Arial"/>
          <w:b/>
          <w:bCs/>
          <w:sz w:val="24"/>
        </w:rPr>
        <w:t>Infrastruktura kao temelj razvoja</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Kvalitetna komunalna i prometna infrastruktura osnovni je preduvjet za održivi razvoj. Potrebe Općine Negoslavci uključuju modernizaciju postojeće infrastrukture – od cesta, vodovodne mreže do rješavanja problema s odvodnjom i održavanjem javnih površina. Istodobno, razvoj širokopojasnog interneta, energetske učinkovitosti i pametnih rješenja ključni su za stvaranje boljih uvjeta života i privlačenje investicija.</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Isto tako, treba uložiti u zelenu i energetsku infrastrukturu, osobito projekte energetske učinkovitosti i korištenja obnovljivih izvora energije, u skladu s klimatskim ciljevima. Održavanje i proširenje postojeće infrastrukture mora ići ruku pod ruku s planiranim razvojem prostora i povećanjem kvalitete javnih i društvenih usluga.</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b/>
          <w:b/>
          <w:bCs/>
          <w:sz w:val="24"/>
        </w:rPr>
      </w:pPr>
      <w:r>
        <w:rPr>
          <w:rFonts w:ascii="Arial" w:hAnsi="Arial"/>
          <w:b/>
          <w:bCs/>
          <w:sz w:val="24"/>
        </w:rPr>
        <w:t>Gospodarstvo i zapošljavanje</w:t>
      </w:r>
    </w:p>
    <w:p>
      <w:pPr>
        <w:pStyle w:val="Normal"/>
        <w:bidi w:val="0"/>
        <w:spacing w:lineRule="auto" w:line="276" w:before="0" w:after="0"/>
        <w:jc w:val="both"/>
        <w:rPr>
          <w:rFonts w:ascii="Arial" w:hAnsi="Arial"/>
          <w:b/>
          <w:b/>
          <w:bCs/>
          <w:sz w:val="24"/>
        </w:rPr>
      </w:pPr>
      <w:r>
        <w:rPr>
          <w:rFonts w:ascii="Arial" w:hAnsi="Arial"/>
          <w:b/>
          <w:bCs/>
          <w:sz w:val="24"/>
        </w:rPr>
      </w:r>
    </w:p>
    <w:p>
      <w:pPr>
        <w:pStyle w:val="Normal"/>
        <w:bidi w:val="0"/>
        <w:spacing w:lineRule="auto" w:line="276" w:before="0" w:after="0"/>
        <w:jc w:val="both"/>
        <w:rPr>
          <w:rFonts w:ascii="Arial" w:hAnsi="Arial"/>
          <w:sz w:val="24"/>
        </w:rPr>
      </w:pPr>
      <w:r>
        <w:rPr>
          <w:rFonts w:ascii="Arial" w:hAnsi="Arial"/>
          <w:sz w:val="24"/>
        </w:rPr>
        <w:t>U gospodarskom smislu, Općina Negoslavci ima jasno izražene potrebe za modernizacijom i poticanjem poljoprivredne proizvodnje, osobito kroz uvođenje novih tehnologija, pristup tržištima te sustave navodnjavanja. Također je nužno poticati malo i srednje poduzetništvo, razvoj obiteljskih poljoprivrednih gospodarstava (OPG-ova) te stvarati novu poduzetničku infrastrukturu poput poslovnih zona ili inkubatora. Važan cilj je povećanje zaposlenosti i otvaranje radnih mjesta, osobito za mlade i dugotrajno nezaposlene osobe.</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Razvojni potencijali leže u plodnom poljoprivrednom zemljištu, blizini urbanih centara i većih tržišta, kao i u mogućnostima prekogranične suradnje i trgovine s obližnjim zemljama. Ti faktori mogu postati temelj lokalnog gospodarskog oporavka ako se osiguraju institucionalna podrška i odgovarajuće investicije.</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b/>
          <w:b/>
          <w:bCs/>
          <w:sz w:val="24"/>
        </w:rPr>
      </w:pPr>
      <w:r>
        <w:rPr>
          <w:rFonts w:ascii="Arial" w:hAnsi="Arial"/>
          <w:b/>
          <w:bCs/>
          <w:sz w:val="24"/>
        </w:rPr>
        <w:t>Društvene djelatnosti i kvaliteta života</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U području društvenih djelatnosti, razvojne potrebe obuhvaćaju osiguranje kvalitetnih usluga u obrazovanju, zdravstvu, kulturi i sportu, kao i pristup socijalnoj skrbi i uslugama za starije i ranjive skupine. Ključno je osnažiti lokalnu zajednicu kroz aktivnosti koje potiču uključivost, volontiranje i stvaranje osjećaja pripadnosti, osobito kod mladih.</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Ulaganja u društvene djelatnosti ne doprinose samo kvaliteti života, već i jačaju lokalni identitet, održavaju demografsku strukturu te stvaraju pretpostavke za dugoročno održiv razvoj.</w:t>
      </w:r>
    </w:p>
    <w:p>
      <w:pPr>
        <w:pStyle w:val="Normal"/>
        <w:bidi w:val="0"/>
        <w:spacing w:lineRule="auto" w:line="276" w:before="0" w:after="0"/>
        <w:jc w:val="both"/>
        <w:rPr>
          <w:rFonts w:ascii="Arial" w:hAnsi="Arial"/>
          <w:sz w:val="24"/>
        </w:rPr>
      </w:pPr>
      <w:r>
        <w:rPr>
          <w:rFonts w:ascii="Arial" w:hAnsi="Arial"/>
          <w:sz w:val="24"/>
        </w:rPr>
      </w:r>
    </w:p>
    <w:p>
      <w:pPr>
        <w:pStyle w:val="Normal"/>
        <w:bidi w:val="0"/>
        <w:spacing w:lineRule="auto" w:line="276" w:before="0" w:after="0"/>
        <w:jc w:val="both"/>
        <w:rPr>
          <w:rFonts w:ascii="Arial" w:hAnsi="Arial"/>
          <w:sz w:val="24"/>
        </w:rPr>
      </w:pPr>
      <w:r>
        <w:rPr>
          <w:rFonts w:ascii="Arial" w:hAnsi="Arial"/>
          <w:sz w:val="24"/>
        </w:rPr>
        <w:t>Razvoj Općine Negoslavci zahtijeva koordinirani pristup koji uvažava lokalne specifičnosti i koristi postojeće potencijale. Integrirani pristup demografskim izazovima, gospodarstvu, infrastrukturi i društvenim djelatnostima može omogućiti stabilniji razvoj, povećanje kvalitete života te dugoročnu održivost lokalne zajednice. Ključno je aktivirati sve raspoložive resurse – ljudske, prirodne i financijske – uz snažniju podršku regionalnih i nacionalnih institucija.</w:t>
      </w:r>
    </w:p>
    <w:p>
      <w:pPr>
        <w:pStyle w:val="Stilnaslova1"/>
        <w:numPr>
          <w:ilvl w:val="0"/>
          <w:numId w:val="3"/>
        </w:numPr>
        <w:bidi w:val="0"/>
        <w:jc w:val="left"/>
        <w:rPr/>
      </w:pPr>
      <w:bookmarkStart w:id="10" w:name="_Toc203651349"/>
      <w:r>
        <w:rPr/>
        <w:t>DOPRINOS PROVEDBI CILJEVA I PRIORITETA IZ POVEZANIH AKATA STRATEŠKOG PLANIRANJA</w:t>
      </w:r>
      <w:bookmarkEnd w:id="10"/>
    </w:p>
    <w:p>
      <w:pPr>
        <w:pStyle w:val="Normal"/>
        <w:bidi w:val="0"/>
        <w:spacing w:before="0" w:after="0"/>
        <w:jc w:val="left"/>
        <w:rPr>
          <w:rFonts w:ascii="Arial" w:hAnsi="Arial"/>
          <w:b/>
          <w:b/>
          <w:sz w:val="24"/>
        </w:rPr>
      </w:pPr>
      <w:r>
        <w:rPr>
          <w:rFonts w:ascii="Arial" w:hAnsi="Arial"/>
          <w:b/>
          <w:sz w:val="24"/>
        </w:rPr>
      </w:r>
    </w:p>
    <w:p>
      <w:pPr>
        <w:pStyle w:val="Normal"/>
        <w:bidi w:val="0"/>
        <w:spacing w:lineRule="auto" w:line="276" w:before="0" w:after="0"/>
        <w:jc w:val="both"/>
        <w:rPr>
          <w:rFonts w:ascii="Arial" w:hAnsi="Arial"/>
          <w:bCs/>
          <w:sz w:val="24"/>
        </w:rPr>
      </w:pPr>
      <w:r>
        <w:rPr>
          <w:rFonts w:ascii="Arial" w:hAnsi="Arial"/>
          <w:bCs/>
          <w:sz w:val="24"/>
        </w:rPr>
        <w:t>Provedbeni program Općine Negoslavci za razdoblje 2025.-2029. godine doprinosi provedbi nadređenog akta strateškog planiranja, odnosno Strategije razvoja Općine Negoslavci do 2027. godine, što prati Višegodišnji financijski okvir Europske unije.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 xml:space="preserve">Strategija razvoja Općine Negoslavci za razdoblje do 2027. g. predstavlja dugoročni plan mobilizacije svih potencijala prema ostvarivanju svoje misije, dugoročne vizije i razvojnih prioriteta. Principi na kojima će Općina graditi svoj razvoj i napredak su: „pametna općina“; „pametno gospodarstvo“ i održivi razvoj. Kapital Općine, fiskalni kapacitet s kojim Općina raspolaže i potpore iz Europskih strukturnih i investicijskih fondova, Općina (kao jedinica lokalne samouprave) iskoristit će za ulaganja u razvojne projekte koje će pokretati samostalno i u suradnji s privatnim investitorima kako bi se ostvarili glavni razvojni ciljevi u razdoblju do 2027. godine. </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 xml:space="preserve">Glavni razvojni ciljevi Općine Negoslavci definirani Strategijom razvoja za razdoblje do 2027. godine su: </w:t>
      </w:r>
    </w:p>
    <w:p>
      <w:pPr>
        <w:pStyle w:val="ListParagraph"/>
        <w:numPr>
          <w:ilvl w:val="0"/>
          <w:numId w:val="7"/>
        </w:numPr>
        <w:bidi w:val="0"/>
        <w:spacing w:lineRule="auto" w:line="276" w:before="0" w:after="0"/>
        <w:contextualSpacing/>
        <w:jc w:val="both"/>
        <w:rPr>
          <w:rFonts w:ascii="Arial" w:hAnsi="Arial"/>
          <w:bCs/>
          <w:sz w:val="24"/>
        </w:rPr>
      </w:pPr>
      <w:r>
        <w:rPr>
          <w:rFonts w:ascii="Arial" w:hAnsi="Arial"/>
          <w:bCs/>
          <w:sz w:val="24"/>
        </w:rPr>
        <w:t xml:space="preserve">Stvaranje novih i kvalitetnih radnih mjesta; </w:t>
      </w:r>
    </w:p>
    <w:p>
      <w:pPr>
        <w:pStyle w:val="ListParagraph"/>
        <w:numPr>
          <w:ilvl w:val="0"/>
          <w:numId w:val="7"/>
        </w:numPr>
        <w:bidi w:val="0"/>
        <w:spacing w:lineRule="auto" w:line="276" w:before="0" w:after="0"/>
        <w:contextualSpacing/>
        <w:jc w:val="both"/>
        <w:rPr>
          <w:rFonts w:ascii="Arial" w:hAnsi="Arial"/>
          <w:bCs/>
          <w:sz w:val="24"/>
        </w:rPr>
      </w:pPr>
      <w:r>
        <w:rPr>
          <w:rFonts w:ascii="Arial" w:hAnsi="Arial"/>
          <w:bCs/>
          <w:sz w:val="24"/>
        </w:rPr>
        <w:t>Razvoj poduzetničke infrastrukture;</w:t>
      </w:r>
    </w:p>
    <w:p>
      <w:pPr>
        <w:pStyle w:val="ListParagraph"/>
        <w:numPr>
          <w:ilvl w:val="0"/>
          <w:numId w:val="7"/>
        </w:numPr>
        <w:bidi w:val="0"/>
        <w:spacing w:lineRule="auto" w:line="276" w:before="0" w:after="0"/>
        <w:contextualSpacing/>
        <w:jc w:val="both"/>
        <w:rPr>
          <w:rFonts w:ascii="Arial" w:hAnsi="Arial"/>
          <w:bCs/>
          <w:sz w:val="24"/>
        </w:rPr>
      </w:pPr>
      <w:r>
        <w:rPr>
          <w:rFonts w:ascii="Arial" w:hAnsi="Arial"/>
          <w:bCs/>
          <w:sz w:val="24"/>
        </w:rPr>
        <w:t xml:space="preserve">Razvoj srednjeg strukovnog i cjeloživotnog obrazovanja; </w:t>
      </w:r>
    </w:p>
    <w:p>
      <w:pPr>
        <w:pStyle w:val="ListParagraph"/>
        <w:numPr>
          <w:ilvl w:val="0"/>
          <w:numId w:val="7"/>
        </w:numPr>
        <w:bidi w:val="0"/>
        <w:spacing w:lineRule="auto" w:line="276" w:before="0" w:after="0"/>
        <w:contextualSpacing/>
        <w:jc w:val="both"/>
        <w:rPr>
          <w:rFonts w:ascii="Arial" w:hAnsi="Arial"/>
          <w:bCs/>
          <w:sz w:val="24"/>
        </w:rPr>
      </w:pPr>
      <w:r>
        <w:rPr>
          <w:rFonts w:ascii="Arial" w:hAnsi="Arial"/>
          <w:bCs/>
          <w:sz w:val="24"/>
        </w:rPr>
        <w:t>Razvoj kulturne, sportske i društvene infrastrukture te kvalitete života.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Provedbeni programi Općine Negoslavci osigurava i provedbu posebnih ciljeva iz Plana razvoja Vukovarsko-srijemske županije za razdoblje 2021. – 2027. godine. Plan razvoja Vukovarsko-srijemske županije za razdoblje 2021. – 2027. godine je najvažniji srednjoročni akt strateškog planiranja kojim se utvrđuju ciljevi sveobuhvatnog razvoja</w:t>
      </w:r>
    </w:p>
    <w:p>
      <w:pPr>
        <w:pStyle w:val="Normal"/>
        <w:bidi w:val="0"/>
        <w:spacing w:lineRule="auto" w:line="276" w:before="0" w:after="0"/>
        <w:jc w:val="both"/>
        <w:rPr>
          <w:rFonts w:ascii="Arial" w:hAnsi="Arial"/>
          <w:bCs/>
          <w:sz w:val="24"/>
        </w:rPr>
      </w:pPr>
      <w:r>
        <w:rPr>
          <w:rFonts w:ascii="Arial" w:hAnsi="Arial"/>
          <w:bCs/>
          <w:sz w:val="24"/>
        </w:rPr>
        <w:t>Vukovarsko-srijemske županije. Njime se definiraju posebni ciljevi za provedbu strateških ciljeva iz dugoročnih akata strateškog planiranja te je kao takav temeljni dokument koji pruža okvir za poticanje razvoja sa svrhom jačanja razvojnih potencijala Vukovarsko-srijemske županije. Kao dokument politike regionalnog razvoja usklađen je s Nacionalnom razvojnom strategijom Republike Hrvatske za razdoblje do 2030. godine (NRS 2030), sektorskim i višesektorskim strategijama te je izravna poveznica između europskih, nacionalnih i lokalnih razvojnih planova</w:t>
      </w:r>
    </w:p>
    <w:p>
      <w:pPr>
        <w:pStyle w:val="Normal"/>
        <w:bidi w:val="0"/>
        <w:spacing w:lineRule="auto" w:line="276" w:before="0" w:after="0"/>
        <w:jc w:val="both"/>
        <w:rPr>
          <w:rFonts w:ascii="Arial" w:hAnsi="Arial"/>
          <w:bCs/>
          <w:sz w:val="24"/>
          <w:highlight w:val="yellow"/>
        </w:rPr>
      </w:pPr>
      <w:r>
        <w:rPr>
          <w:rFonts w:ascii="Arial" w:hAnsi="Arial"/>
          <w:bCs/>
          <w:sz w:val="24"/>
          <w:highlight w:val="yellow"/>
        </w:rPr>
      </w:r>
    </w:p>
    <w:p>
      <w:pPr>
        <w:pStyle w:val="Normal"/>
        <w:bidi w:val="0"/>
        <w:spacing w:lineRule="auto" w:line="276" w:before="0" w:after="0"/>
        <w:jc w:val="both"/>
        <w:rPr>
          <w:rFonts w:ascii="Arial" w:hAnsi="Arial"/>
          <w:bCs/>
          <w:sz w:val="24"/>
        </w:rPr>
      </w:pPr>
      <w:r>
        <w:rPr>
          <w:rFonts w:ascii="Arial" w:hAnsi="Arial"/>
          <w:bCs/>
          <w:sz w:val="24"/>
        </w:rPr>
        <w:t>U nastavku su naznačena četiri opća prioritetna područja javnih politika Vukovarsko-srijemske županije:</w:t>
      </w:r>
    </w:p>
    <w:p>
      <w:pPr>
        <w:pStyle w:val="ListParagraph"/>
        <w:numPr>
          <w:ilvl w:val="0"/>
          <w:numId w:val="8"/>
        </w:numPr>
        <w:bidi w:val="0"/>
        <w:spacing w:lineRule="auto" w:line="276" w:before="0" w:after="0"/>
        <w:contextualSpacing/>
        <w:jc w:val="both"/>
        <w:rPr>
          <w:rFonts w:ascii="Arial" w:hAnsi="Arial"/>
          <w:bCs/>
          <w:sz w:val="24"/>
        </w:rPr>
      </w:pPr>
      <w:r>
        <w:rPr>
          <w:rFonts w:ascii="Arial" w:hAnsi="Arial"/>
          <w:bCs/>
          <w:sz w:val="24"/>
        </w:rPr>
        <w:t>Razvoj konkurentnog, inovativnog i održivog gospodarstva te poboljšanje kvalitete života</w:t>
      </w:r>
    </w:p>
    <w:p>
      <w:pPr>
        <w:pStyle w:val="ListParagraph"/>
        <w:numPr>
          <w:ilvl w:val="0"/>
          <w:numId w:val="8"/>
        </w:numPr>
        <w:bidi w:val="0"/>
        <w:spacing w:lineRule="auto" w:line="276" w:before="0" w:after="0"/>
        <w:contextualSpacing/>
        <w:jc w:val="both"/>
        <w:rPr>
          <w:rFonts w:ascii="Arial" w:hAnsi="Arial"/>
          <w:bCs/>
          <w:sz w:val="24"/>
        </w:rPr>
      </w:pPr>
      <w:r>
        <w:rPr>
          <w:rFonts w:ascii="Arial" w:hAnsi="Arial"/>
          <w:bCs/>
          <w:sz w:val="24"/>
        </w:rPr>
        <w:t>Sigurnost za stabilan razvoj, demografska revitalizacija i jačanje otpornosti na krize</w:t>
      </w:r>
    </w:p>
    <w:p>
      <w:pPr>
        <w:pStyle w:val="ListParagraph"/>
        <w:numPr>
          <w:ilvl w:val="0"/>
          <w:numId w:val="8"/>
        </w:numPr>
        <w:bidi w:val="0"/>
        <w:spacing w:lineRule="auto" w:line="276" w:before="0" w:after="0"/>
        <w:contextualSpacing/>
        <w:jc w:val="both"/>
        <w:rPr>
          <w:rFonts w:ascii="Arial" w:hAnsi="Arial"/>
          <w:bCs/>
          <w:sz w:val="24"/>
        </w:rPr>
      </w:pPr>
      <w:r>
        <w:rPr>
          <w:rFonts w:ascii="Arial" w:hAnsi="Arial"/>
          <w:bCs/>
          <w:sz w:val="24"/>
        </w:rPr>
        <w:t>Zelena i digitalna tranzicija</w:t>
      </w:r>
    </w:p>
    <w:p>
      <w:pPr>
        <w:pStyle w:val="ListParagraph"/>
        <w:numPr>
          <w:ilvl w:val="0"/>
          <w:numId w:val="8"/>
        </w:numPr>
        <w:bidi w:val="0"/>
        <w:spacing w:lineRule="auto" w:line="276" w:before="0" w:after="0"/>
        <w:contextualSpacing/>
        <w:jc w:val="both"/>
        <w:rPr>
          <w:rFonts w:ascii="Arial" w:hAnsi="Arial"/>
          <w:bCs/>
          <w:sz w:val="24"/>
        </w:rPr>
      </w:pPr>
      <w:r>
        <w:rPr>
          <w:rFonts w:ascii="Arial" w:hAnsi="Arial"/>
          <w:bCs/>
          <w:sz w:val="24"/>
        </w:rPr>
        <w:t>Povećanje regionalne konkurentnosti i ravnomjeran regionalni razvoj.</w:t>
        <w:br/>
      </w:r>
    </w:p>
    <w:p>
      <w:pPr>
        <w:pStyle w:val="Normal"/>
        <w:bidi w:val="0"/>
        <w:spacing w:lineRule="auto" w:line="276" w:before="0" w:after="0"/>
        <w:jc w:val="both"/>
        <w:rPr>
          <w:rFonts w:ascii="Arial" w:hAnsi="Arial"/>
          <w:bCs/>
          <w:sz w:val="24"/>
        </w:rPr>
      </w:pPr>
      <w:r>
        <w:rPr>
          <w:rFonts w:ascii="Arial" w:hAnsi="Arial"/>
          <w:bCs/>
          <w:sz w:val="24"/>
        </w:rPr>
        <w:t>U svrhu ostvarivanja održivog i ravnomjernog razvoja Općine Negoslavci, te unaprjeđenja kvalitete života svih njezinih stanovnika, definirani su strateški prioriteti i pripadajuće mjere za razdoblje 2025.–2029. godine. Ovi prioriteti temelje se na prepoznatim razvojnim potrebama i potencijalima lokalne zajednice, kao i na usklađenosti sa Strategijom razvoja Općine Negoslavci do 2027. godine i Planom razvoja Vukovarsko-srijemske županije za razdoblje 2021.–2027.</w:t>
      </w:r>
    </w:p>
    <w:p>
      <w:pPr>
        <w:pStyle w:val="Normal"/>
        <w:bidi w:val="0"/>
        <w:spacing w:before="0" w:after="0"/>
        <w:jc w:val="left"/>
        <w:rPr>
          <w:rFonts w:ascii="Arial" w:hAnsi="Arial"/>
          <w:b/>
          <w:b/>
          <w:sz w:val="24"/>
        </w:rPr>
      </w:pPr>
      <w:r>
        <w:rPr>
          <w:rFonts w:ascii="Arial" w:hAnsi="Arial"/>
          <w:b/>
          <w:sz w:val="24"/>
        </w:rPr>
      </w:r>
    </w:p>
    <w:tbl>
      <w:tblPr>
        <w:tblStyle w:val="Reetkatablice"/>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13"/>
        <w:gridCol w:w="1913"/>
        <w:gridCol w:w="1782"/>
        <w:gridCol w:w="2004"/>
        <w:gridCol w:w="2026"/>
      </w:tblGrid>
      <w:tr>
        <w:trPr>
          <w:trHeight w:val="283" w:hRule="atLeast"/>
        </w:trPr>
        <w:tc>
          <w:tcPr>
            <w:tcW w:w="9638" w:type="dxa"/>
            <w:gridSpan w:val="5"/>
            <w:tcBorders/>
            <w:shd w:color="auto" w:fill="C00000" w:val="clear"/>
            <w:vAlign w:val="center"/>
          </w:tcPr>
          <w:p>
            <w:pPr>
              <w:pStyle w:val="Normal"/>
              <w:widowControl w:val="false"/>
              <w:bidi w:val="0"/>
              <w:spacing w:lineRule="auto" w:line="276" w:before="0" w:after="0"/>
              <w:jc w:val="center"/>
              <w:rPr>
                <w:rFonts w:ascii="Arial" w:hAnsi="Arial" w:cs="Arial"/>
                <w:b/>
                <w:b/>
                <w:sz w:val="20"/>
                <w:szCs w:val="20"/>
              </w:rPr>
            </w:pPr>
            <w:r>
              <w:rPr>
                <w:rFonts w:eastAsia="Calibri" w:cs="Arial" w:ascii="Arial" w:hAnsi="Arial"/>
                <w:b/>
                <w:sz w:val="20"/>
                <w:szCs w:val="20"/>
                <w:lang w:val="hr-HR" w:eastAsia="en-US" w:bidi="ar-SA"/>
              </w:rPr>
              <w:t>PRIORITETI</w:t>
            </w:r>
          </w:p>
        </w:tc>
      </w:tr>
      <w:tr>
        <w:trPr>
          <w:trHeight w:val="2101" w:hRule="atLeast"/>
        </w:trPr>
        <w:tc>
          <w:tcPr>
            <w:tcW w:w="1913" w:type="dxa"/>
            <w:tcBorders/>
            <w:vAlign w:val="center"/>
          </w:tcPr>
          <w:p>
            <w:pPr>
              <w:pStyle w:val="Normal"/>
              <w:widowControl w:val="false"/>
              <w:bidi w:val="0"/>
              <w:spacing w:lineRule="auto" w:line="276" w:before="0" w:after="0"/>
              <w:jc w:val="center"/>
              <w:rPr>
                <w:rFonts w:ascii="Arial" w:hAnsi="Arial" w:cs="Arial"/>
                <w:b/>
                <w:b/>
                <w:color w:val="C00000"/>
                <w:sz w:val="18"/>
                <w:szCs w:val="18"/>
              </w:rPr>
            </w:pPr>
            <w:r>
              <w:rPr>
                <w:rFonts w:eastAsia="Calibri" w:cs="Arial" w:ascii="Arial" w:hAnsi="Arial"/>
                <w:b/>
                <w:color w:val="C00000"/>
                <w:sz w:val="18"/>
                <w:szCs w:val="18"/>
                <w:lang w:val="hr-HR" w:eastAsia="en-US" w:bidi="ar-SA"/>
              </w:rPr>
              <w:t>1. DEMOGRAFSKI RAZVOJ I OBRAZOVANJE – ULAGANJE U BUDUĆNOST OPĆINE NEGOSLAVCI</w:t>
            </w:r>
          </w:p>
        </w:tc>
        <w:tc>
          <w:tcPr>
            <w:tcW w:w="1913" w:type="dxa"/>
            <w:tcBorders/>
            <w:vAlign w:val="center"/>
          </w:tcPr>
          <w:p>
            <w:pPr>
              <w:pStyle w:val="Normal"/>
              <w:widowControl w:val="false"/>
              <w:bidi w:val="0"/>
              <w:spacing w:lineRule="auto" w:line="276" w:before="0" w:after="0"/>
              <w:jc w:val="center"/>
              <w:rPr>
                <w:rFonts w:ascii="Arial" w:hAnsi="Arial" w:cs="Arial"/>
                <w:b/>
                <w:b/>
                <w:color w:val="C00000"/>
                <w:sz w:val="18"/>
                <w:szCs w:val="18"/>
              </w:rPr>
            </w:pPr>
            <w:r>
              <w:rPr>
                <w:rFonts w:eastAsia="Calibri" w:cs="Arial" w:ascii="Arial" w:hAnsi="Arial"/>
                <w:b/>
                <w:color w:val="C00000"/>
                <w:sz w:val="18"/>
                <w:szCs w:val="18"/>
                <w:lang w:val="hr-HR" w:eastAsia="en-US" w:bidi="ar-SA"/>
              </w:rPr>
              <w:t>2. SOCIJALNA UKLJUČENOST I PODRŠKA RANJIVIM SKUPINAMA</w:t>
            </w:r>
          </w:p>
        </w:tc>
        <w:tc>
          <w:tcPr>
            <w:tcW w:w="1782" w:type="dxa"/>
            <w:tcBorders/>
            <w:vAlign w:val="center"/>
          </w:tcPr>
          <w:p>
            <w:pPr>
              <w:pStyle w:val="Normal"/>
              <w:widowControl w:val="false"/>
              <w:bidi w:val="0"/>
              <w:spacing w:lineRule="auto" w:line="276" w:before="0" w:after="0"/>
              <w:jc w:val="center"/>
              <w:rPr>
                <w:rFonts w:ascii="Arial" w:hAnsi="Arial" w:cs="Arial"/>
                <w:b/>
                <w:b/>
                <w:color w:val="C00000"/>
                <w:sz w:val="18"/>
                <w:szCs w:val="18"/>
              </w:rPr>
            </w:pPr>
            <w:bookmarkStart w:id="11" w:name="_Hlk128559436"/>
            <w:r>
              <w:rPr>
                <w:rFonts w:eastAsia="Calibri" w:cs="Arial" w:ascii="Arial" w:hAnsi="Arial"/>
                <w:b/>
                <w:color w:val="C00000"/>
                <w:sz w:val="18"/>
                <w:szCs w:val="18"/>
                <w:lang w:val="hr-HR" w:eastAsia="en-US" w:bidi="ar-SA"/>
              </w:rPr>
              <w:t>3. AKTIVNA ZAJEDNICA KROZ SPORT I KULTURU</w:t>
            </w:r>
            <w:bookmarkEnd w:id="11"/>
          </w:p>
        </w:tc>
        <w:tc>
          <w:tcPr>
            <w:tcW w:w="2004" w:type="dxa"/>
            <w:tcBorders/>
            <w:vAlign w:val="center"/>
          </w:tcPr>
          <w:p>
            <w:pPr>
              <w:pStyle w:val="Normal"/>
              <w:widowControl w:val="false"/>
              <w:bidi w:val="0"/>
              <w:spacing w:lineRule="auto" w:line="276" w:before="0" w:after="0"/>
              <w:jc w:val="center"/>
              <w:rPr>
                <w:rFonts w:ascii="Arial" w:hAnsi="Arial" w:cs="Arial"/>
                <w:b/>
                <w:b/>
                <w:color w:val="C00000"/>
                <w:sz w:val="18"/>
                <w:szCs w:val="18"/>
              </w:rPr>
            </w:pPr>
            <w:r>
              <w:rPr>
                <w:rFonts w:eastAsia="Calibri" w:cs="Arial" w:ascii="Arial" w:hAnsi="Arial"/>
                <w:b/>
                <w:color w:val="C00000"/>
                <w:sz w:val="18"/>
                <w:szCs w:val="18"/>
                <w:lang w:val="hr-HR" w:eastAsia="en-US" w:bidi="ar-SA"/>
              </w:rPr>
              <w:t>4. KOMUNALNA INFRASTRUKTURA KAO TEMELJ RAVNOMJERNOG RAZVOJA NASELJA</w:t>
            </w:r>
          </w:p>
        </w:tc>
        <w:tc>
          <w:tcPr>
            <w:tcW w:w="2026" w:type="dxa"/>
            <w:tcBorders/>
            <w:vAlign w:val="center"/>
          </w:tcPr>
          <w:p>
            <w:pPr>
              <w:pStyle w:val="Normal"/>
              <w:widowControl w:val="false"/>
              <w:bidi w:val="0"/>
              <w:spacing w:lineRule="auto" w:line="276" w:before="0" w:after="0"/>
              <w:jc w:val="center"/>
              <w:rPr>
                <w:rFonts w:ascii="Arial" w:hAnsi="Arial" w:cs="Arial"/>
                <w:b/>
                <w:b/>
                <w:color w:val="C00000"/>
                <w:sz w:val="18"/>
                <w:szCs w:val="18"/>
              </w:rPr>
            </w:pPr>
            <w:r>
              <w:rPr>
                <w:rFonts w:eastAsia="Calibri" w:cs="Arial" w:ascii="Arial" w:hAnsi="Arial"/>
                <w:b/>
                <w:color w:val="C00000"/>
                <w:sz w:val="18"/>
                <w:szCs w:val="18"/>
                <w:lang w:val="hr-HR" w:eastAsia="en-US" w:bidi="ar-SA"/>
              </w:rPr>
              <w:t>5. JAČANJE ADMINISTRATIVNE UČINKOVITOSTI I OTPORNOSTI ZAJEDNICE</w:t>
            </w:r>
          </w:p>
        </w:tc>
      </w:tr>
      <w:tr>
        <w:trPr>
          <w:trHeight w:val="283" w:hRule="atLeast"/>
        </w:trPr>
        <w:tc>
          <w:tcPr>
            <w:tcW w:w="9638" w:type="dxa"/>
            <w:gridSpan w:val="5"/>
            <w:tcBorders/>
            <w:shd w:color="auto" w:fill="C00000" w:val="clear"/>
            <w:vAlign w:val="center"/>
          </w:tcPr>
          <w:p>
            <w:pPr>
              <w:pStyle w:val="Normal"/>
              <w:widowControl w:val="false"/>
              <w:bidi w:val="0"/>
              <w:spacing w:lineRule="auto" w:line="276" w:before="0" w:after="0"/>
              <w:jc w:val="center"/>
              <w:rPr>
                <w:rFonts w:ascii="Arial" w:hAnsi="Arial" w:cs="Arial"/>
                <w:b/>
                <w:b/>
                <w:color w:val="FFFFFF" w:themeColor="background1"/>
                <w:sz w:val="20"/>
                <w:szCs w:val="20"/>
              </w:rPr>
            </w:pPr>
            <w:r>
              <w:rPr>
                <w:rFonts w:eastAsia="Calibri" w:cs="Arial" w:ascii="Arial" w:hAnsi="Arial"/>
                <w:b/>
                <w:color w:val="FFFFFF" w:themeColor="background1"/>
                <w:sz w:val="20"/>
                <w:szCs w:val="20"/>
                <w:lang w:val="hr-HR" w:eastAsia="en-US" w:bidi="ar-SA"/>
              </w:rPr>
              <w:t>MJERE</w:t>
            </w:r>
          </w:p>
        </w:tc>
      </w:tr>
      <w:tr>
        <w:trPr>
          <w:trHeight w:val="3782" w:hRule="atLeast"/>
        </w:trPr>
        <w:tc>
          <w:tcPr>
            <w:tcW w:w="1913" w:type="dxa"/>
            <w:tcBorders/>
          </w:tcPr>
          <w:p>
            <w:pPr>
              <w:pStyle w:val="ListParagraph"/>
              <w:widowControl w:val="false"/>
              <w:numPr>
                <w:ilvl w:val="0"/>
                <w:numId w:val="9"/>
              </w:numPr>
              <w:bidi w:val="0"/>
              <w:spacing w:lineRule="auto" w:line="276" w:before="0" w:after="0"/>
              <w:contextualSpacing/>
              <w:jc w:val="left"/>
              <w:rPr>
                <w:rFonts w:ascii="Arial" w:hAnsi="Arial" w:cs="Arial"/>
                <w:b/>
                <w:b/>
                <w:bCs/>
                <w:color w:val="000000" w:themeColor="text1"/>
                <w:sz w:val="18"/>
                <w:szCs w:val="18"/>
              </w:rPr>
            </w:pPr>
            <w:r>
              <w:rPr>
                <w:rFonts w:eastAsia="Calibri" w:cs="Arial" w:ascii="Arial" w:hAnsi="Arial"/>
                <w:b/>
                <w:bCs/>
                <w:color w:val="C00000"/>
                <w:sz w:val="18"/>
                <w:szCs w:val="18"/>
                <w:lang w:val="hr-HR" w:eastAsia="en-US" w:bidi="ar-SA"/>
              </w:rPr>
              <w:t xml:space="preserve">Mjera 1. </w:t>
            </w:r>
            <w:r>
              <w:rPr>
                <w:rFonts w:eastAsia="Calibri" w:cs="Arial" w:ascii="Arial" w:hAnsi="Arial"/>
                <w:b/>
                <w:bCs/>
                <w:color w:val="000000" w:themeColor="text1"/>
                <w:sz w:val="18"/>
                <w:szCs w:val="18"/>
                <w:lang w:val="hr-HR" w:eastAsia="en-US" w:bidi="ar-SA"/>
              </w:rPr>
              <w:t>Osiguranje kvalitetnog i uključivog obrazovanja za svu djecu i mlade</w:t>
            </w:r>
          </w:p>
          <w:p>
            <w:pPr>
              <w:pStyle w:val="ListParagraph"/>
              <w:widowControl w:val="false"/>
              <w:numPr>
                <w:ilvl w:val="0"/>
                <w:numId w:val="9"/>
              </w:numPr>
              <w:bidi w:val="0"/>
              <w:spacing w:lineRule="auto" w:line="276" w:before="0" w:after="0"/>
              <w:contextualSpacing/>
              <w:jc w:val="left"/>
              <w:rPr>
                <w:rFonts w:ascii="Arial" w:hAnsi="Arial" w:cs="Arial"/>
                <w:b/>
                <w:b/>
                <w:bCs/>
                <w:color w:val="000000" w:themeColor="text1"/>
                <w:sz w:val="18"/>
                <w:szCs w:val="18"/>
              </w:rPr>
            </w:pPr>
            <w:r>
              <w:rPr>
                <w:rFonts w:eastAsia="Calibri" w:cs="Arial" w:ascii="Arial" w:hAnsi="Arial"/>
                <w:b/>
                <w:bCs/>
                <w:color w:val="C00000"/>
                <w:sz w:val="18"/>
                <w:szCs w:val="18"/>
                <w:lang w:val="hr-HR" w:eastAsia="en-US" w:bidi="ar-SA"/>
              </w:rPr>
              <w:t xml:space="preserve">Mjera 2. </w:t>
            </w:r>
            <w:r>
              <w:rPr>
                <w:rFonts w:eastAsia="Calibri" w:cs="Arial" w:ascii="Arial" w:hAnsi="Arial"/>
                <w:b/>
                <w:bCs/>
                <w:color w:val="000000" w:themeColor="text1"/>
                <w:sz w:val="18"/>
                <w:szCs w:val="18"/>
                <w:lang w:val="hr-HR" w:eastAsia="en-US" w:bidi="ar-SA"/>
              </w:rPr>
              <w:t>Poticanje demografske obnove i podrška mladim obiteljima</w:t>
            </w:r>
          </w:p>
        </w:tc>
        <w:tc>
          <w:tcPr>
            <w:tcW w:w="1913" w:type="dxa"/>
            <w:tcBorders/>
          </w:tcPr>
          <w:p>
            <w:pPr>
              <w:pStyle w:val="ListParagraph"/>
              <w:widowControl w:val="false"/>
              <w:numPr>
                <w:ilvl w:val="0"/>
                <w:numId w:val="10"/>
              </w:numPr>
              <w:bidi w:val="0"/>
              <w:spacing w:lineRule="auto" w:line="240" w:before="0" w:after="0"/>
              <w:contextualSpacing/>
              <w:jc w:val="left"/>
              <w:rPr>
                <w:rFonts w:ascii="Arial" w:hAnsi="Arial" w:cs="Arial"/>
                <w:b/>
                <w:b/>
                <w:bCs/>
                <w:color w:val="000000" w:themeColor="text1"/>
                <w:sz w:val="18"/>
                <w:szCs w:val="18"/>
              </w:rPr>
            </w:pPr>
            <w:r>
              <w:rPr>
                <w:rFonts w:eastAsia="Calibri" w:cs="Arial" w:ascii="Arial" w:hAnsi="Arial"/>
                <w:b/>
                <w:bCs/>
                <w:color w:val="C00000"/>
                <w:sz w:val="18"/>
                <w:szCs w:val="18"/>
                <w:lang w:val="hr-HR" w:eastAsia="en-US" w:bidi="ar-SA"/>
              </w:rPr>
              <w:t xml:space="preserve">Mjera 3. </w:t>
            </w:r>
            <w:r>
              <w:rPr>
                <w:rFonts w:eastAsia="Calibri" w:cs="Arial" w:ascii="Arial" w:hAnsi="Arial"/>
                <w:b/>
                <w:bCs/>
                <w:color w:val="000000" w:themeColor="text1"/>
                <w:sz w:val="18"/>
                <w:szCs w:val="18"/>
                <w:lang w:val="hr-HR" w:eastAsia="en-US" w:bidi="ar-SA"/>
              </w:rPr>
              <w:t>Osiguranje osnovnih životnih uvjeta i socijalne sigurnosti za ugrožene skupine</w:t>
            </w:r>
          </w:p>
          <w:p>
            <w:pPr>
              <w:pStyle w:val="ListParagraph"/>
              <w:widowControl w:val="false"/>
              <w:numPr>
                <w:ilvl w:val="0"/>
                <w:numId w:val="10"/>
              </w:numPr>
              <w:bidi w:val="0"/>
              <w:spacing w:lineRule="auto" w:line="276" w:before="0" w:after="0"/>
              <w:contextualSpacing/>
              <w:jc w:val="left"/>
              <w:rPr>
                <w:rFonts w:ascii="Arial" w:hAnsi="Arial" w:cs="Arial"/>
                <w:b/>
                <w:b/>
                <w:bCs/>
                <w:color w:val="000000" w:themeColor="text1"/>
                <w:sz w:val="18"/>
                <w:szCs w:val="18"/>
              </w:rPr>
            </w:pPr>
            <w:r>
              <w:rPr>
                <w:rFonts w:eastAsia="Calibri" w:cs="Arial" w:ascii="Arial" w:hAnsi="Arial"/>
                <w:b/>
                <w:bCs/>
                <w:color w:val="C00000"/>
                <w:sz w:val="18"/>
                <w:szCs w:val="18"/>
                <w:lang w:val="hr-HR" w:eastAsia="en-US" w:bidi="ar-SA"/>
              </w:rPr>
              <w:t xml:space="preserve">Mjera 4. </w:t>
            </w:r>
            <w:r>
              <w:rPr>
                <w:rFonts w:eastAsia="Calibri" w:cs="Arial" w:ascii="Arial" w:hAnsi="Arial"/>
                <w:b/>
                <w:bCs/>
                <w:color w:val="000000" w:themeColor="text1"/>
                <w:sz w:val="18"/>
                <w:szCs w:val="18"/>
                <w:lang w:val="hr-HR" w:eastAsia="en-US" w:bidi="ar-SA"/>
              </w:rPr>
              <w:t>Pružanje pomoći i skrbi starijim i nemoćnim osobama u lokalnoj zajednici</w:t>
            </w:r>
          </w:p>
        </w:tc>
        <w:tc>
          <w:tcPr>
            <w:tcW w:w="1782" w:type="dxa"/>
            <w:tcBorders/>
          </w:tcPr>
          <w:p>
            <w:pPr>
              <w:pStyle w:val="ListParagraph"/>
              <w:widowControl w:val="false"/>
              <w:numPr>
                <w:ilvl w:val="0"/>
                <w:numId w:val="10"/>
              </w:numPr>
              <w:bidi w:val="0"/>
              <w:spacing w:lineRule="auto" w:line="276" w:before="0" w:after="0"/>
              <w:contextualSpacing/>
              <w:jc w:val="left"/>
              <w:rPr>
                <w:rFonts w:ascii="Arial" w:hAnsi="Arial" w:cs="Arial"/>
                <w:b/>
                <w:b/>
                <w:bCs/>
                <w:color w:val="000000" w:themeColor="text1"/>
                <w:sz w:val="18"/>
                <w:szCs w:val="18"/>
              </w:rPr>
            </w:pPr>
            <w:r>
              <w:rPr>
                <w:rFonts w:eastAsia="Calibri" w:cs="Arial" w:ascii="Arial" w:hAnsi="Arial"/>
                <w:b/>
                <w:bCs/>
                <w:color w:val="C00000"/>
                <w:sz w:val="18"/>
                <w:szCs w:val="18"/>
                <w:lang w:val="hr-HR" w:eastAsia="en-US" w:bidi="ar-SA"/>
              </w:rPr>
              <w:t xml:space="preserve">Mjera 5. </w:t>
            </w:r>
            <w:r>
              <w:rPr>
                <w:rFonts w:eastAsia="Calibri" w:cs="Arial" w:ascii="Arial" w:hAnsi="Arial"/>
                <w:b/>
                <w:bCs/>
                <w:color w:val="000000" w:themeColor="text1"/>
                <w:sz w:val="18"/>
                <w:szCs w:val="18"/>
                <w:lang w:val="hr-HR" w:eastAsia="en-US" w:bidi="ar-SA"/>
              </w:rPr>
              <w:t>Razvoj i potpora sportskim aktivnostima u zajednici</w:t>
            </w:r>
          </w:p>
          <w:p>
            <w:pPr>
              <w:pStyle w:val="ListParagraph"/>
              <w:widowControl w:val="false"/>
              <w:numPr>
                <w:ilvl w:val="0"/>
                <w:numId w:val="10"/>
              </w:numPr>
              <w:bidi w:val="0"/>
              <w:spacing w:lineRule="auto" w:line="276" w:before="0" w:after="0"/>
              <w:contextualSpacing/>
              <w:jc w:val="left"/>
              <w:rPr>
                <w:rFonts w:ascii="Arial" w:hAnsi="Arial" w:cs="Arial"/>
                <w:b/>
                <w:b/>
                <w:bCs/>
                <w:color w:val="000000" w:themeColor="text1"/>
                <w:sz w:val="18"/>
                <w:szCs w:val="18"/>
              </w:rPr>
            </w:pPr>
            <w:r>
              <w:rPr>
                <w:rFonts w:eastAsia="Calibri" w:cs="Arial" w:ascii="Arial" w:hAnsi="Arial"/>
                <w:b/>
                <w:bCs/>
                <w:color w:val="C00000"/>
                <w:sz w:val="18"/>
                <w:szCs w:val="18"/>
                <w:lang w:val="hr-HR" w:eastAsia="en-US" w:bidi="ar-SA"/>
              </w:rPr>
              <w:t xml:space="preserve">Mjera 6. </w:t>
            </w:r>
            <w:r>
              <w:rPr>
                <w:rFonts w:eastAsia="Calibri" w:cs="Arial" w:ascii="Arial" w:hAnsi="Arial"/>
                <w:b/>
                <w:bCs/>
                <w:color w:val="000000" w:themeColor="text1"/>
                <w:sz w:val="18"/>
                <w:szCs w:val="18"/>
                <w:lang w:val="hr-HR" w:eastAsia="en-US" w:bidi="ar-SA"/>
              </w:rPr>
              <w:t>Jačanje kulturnih sadržaja i identiteta lokalne zajednice</w:t>
            </w:r>
          </w:p>
        </w:tc>
        <w:tc>
          <w:tcPr>
            <w:tcW w:w="2004" w:type="dxa"/>
            <w:tcBorders/>
          </w:tcPr>
          <w:p>
            <w:pPr>
              <w:pStyle w:val="ListParagraph"/>
              <w:widowControl w:val="false"/>
              <w:numPr>
                <w:ilvl w:val="0"/>
                <w:numId w:val="10"/>
              </w:numPr>
              <w:bidi w:val="0"/>
              <w:spacing w:lineRule="auto" w:line="276" w:before="0" w:after="0"/>
              <w:contextualSpacing/>
              <w:jc w:val="left"/>
              <w:rPr>
                <w:rFonts w:ascii="Arial" w:hAnsi="Arial" w:cs="Arial"/>
                <w:b/>
                <w:b/>
                <w:bCs/>
                <w:color w:val="000000" w:themeColor="text1"/>
                <w:sz w:val="18"/>
                <w:szCs w:val="18"/>
              </w:rPr>
            </w:pPr>
            <w:r>
              <w:rPr>
                <w:rFonts w:eastAsia="Calibri" w:cs="Arial" w:ascii="Arial" w:hAnsi="Arial"/>
                <w:b/>
                <w:bCs/>
                <w:color w:val="C00000"/>
                <w:sz w:val="18"/>
                <w:szCs w:val="18"/>
                <w:lang w:val="hr-HR" w:eastAsia="en-US" w:bidi="ar-SA"/>
              </w:rPr>
              <w:t>Mjera 7.</w:t>
            </w:r>
            <w:r>
              <w:rPr>
                <w:rFonts w:eastAsia="Calibri" w:cs="Arial" w:ascii="Arial" w:hAnsi="Arial"/>
                <w:b/>
                <w:bCs/>
                <w:color w:val="000000" w:themeColor="text1"/>
                <w:sz w:val="18"/>
                <w:szCs w:val="18"/>
                <w:lang w:val="hr-HR" w:eastAsia="en-US" w:bidi="ar-SA"/>
              </w:rPr>
              <w:t xml:space="preserve"> Održavanje i unaprjeđenje postojeće komunalne infrastrukture</w:t>
            </w:r>
          </w:p>
          <w:p>
            <w:pPr>
              <w:pStyle w:val="ListParagraph"/>
              <w:widowControl w:val="false"/>
              <w:numPr>
                <w:ilvl w:val="0"/>
                <w:numId w:val="10"/>
              </w:numPr>
              <w:bidi w:val="0"/>
              <w:spacing w:lineRule="auto" w:line="276" w:before="0" w:after="0"/>
              <w:contextualSpacing/>
              <w:jc w:val="left"/>
              <w:rPr>
                <w:rFonts w:ascii="Arial" w:hAnsi="Arial" w:cs="Arial"/>
                <w:b/>
                <w:b/>
                <w:bCs/>
                <w:color w:val="000000" w:themeColor="text1"/>
                <w:sz w:val="18"/>
                <w:szCs w:val="18"/>
              </w:rPr>
            </w:pPr>
            <w:r>
              <w:rPr>
                <w:rFonts w:eastAsia="Calibri" w:cs="Arial" w:ascii="Arial" w:hAnsi="Arial"/>
                <w:b/>
                <w:bCs/>
                <w:color w:val="C00000"/>
                <w:sz w:val="18"/>
                <w:szCs w:val="18"/>
                <w:lang w:val="hr-HR" w:eastAsia="en-US" w:bidi="ar-SA"/>
              </w:rPr>
              <w:t>Mjera 8.</w:t>
            </w:r>
            <w:r>
              <w:rPr>
                <w:rFonts w:eastAsia="Calibri" w:cs="Arial" w:ascii="Arial" w:hAnsi="Arial"/>
                <w:b/>
                <w:bCs/>
                <w:color w:val="000000" w:themeColor="text1"/>
                <w:sz w:val="18"/>
                <w:szCs w:val="18"/>
                <w:lang w:val="hr-HR" w:eastAsia="en-US" w:bidi="ar-SA"/>
              </w:rPr>
              <w:t xml:space="preserve"> Izgradnja komunalne infrastrukture za održivi prostorni razvoj naselja</w:t>
            </w:r>
          </w:p>
        </w:tc>
        <w:tc>
          <w:tcPr>
            <w:tcW w:w="2026" w:type="dxa"/>
            <w:tcBorders/>
          </w:tcPr>
          <w:p>
            <w:pPr>
              <w:pStyle w:val="ListParagraph"/>
              <w:widowControl w:val="false"/>
              <w:numPr>
                <w:ilvl w:val="0"/>
                <w:numId w:val="10"/>
              </w:numPr>
              <w:bidi w:val="0"/>
              <w:spacing w:lineRule="auto" w:line="276" w:before="0" w:after="0"/>
              <w:contextualSpacing/>
              <w:jc w:val="left"/>
              <w:rPr>
                <w:rFonts w:ascii="Arial" w:hAnsi="Arial" w:cs="Arial"/>
                <w:b/>
                <w:b/>
                <w:bCs/>
                <w:color w:val="C00000"/>
                <w:sz w:val="18"/>
                <w:szCs w:val="18"/>
              </w:rPr>
            </w:pPr>
            <w:r>
              <w:rPr>
                <w:rFonts w:eastAsia="Calibri" w:cs="Arial" w:ascii="Arial" w:hAnsi="Arial"/>
                <w:b/>
                <w:bCs/>
                <w:color w:val="C00000"/>
                <w:sz w:val="18"/>
                <w:szCs w:val="18"/>
                <w:lang w:val="hr-HR" w:eastAsia="en-US" w:bidi="ar-SA"/>
              </w:rPr>
              <w:t>Mjera 9.</w:t>
            </w:r>
            <w:r>
              <w:rPr>
                <w:rFonts w:eastAsia="Calibri" w:cs="Arial" w:ascii="Arial" w:hAnsi="Arial"/>
                <w:b/>
                <w:bCs/>
                <w:color w:val="000000" w:themeColor="text1"/>
                <w:sz w:val="18"/>
                <w:szCs w:val="18"/>
                <w:lang w:val="hr-HR" w:eastAsia="en-US" w:bidi="ar-SA"/>
              </w:rPr>
              <w:t xml:space="preserve"> Unaprjeđenje rada općinskih tijela i administrativne učinkovitosti</w:t>
            </w:r>
          </w:p>
          <w:p>
            <w:pPr>
              <w:pStyle w:val="ListParagraph"/>
              <w:widowControl w:val="false"/>
              <w:numPr>
                <w:ilvl w:val="0"/>
                <w:numId w:val="10"/>
              </w:numPr>
              <w:bidi w:val="0"/>
              <w:spacing w:lineRule="auto" w:line="276" w:before="0" w:after="0"/>
              <w:contextualSpacing/>
              <w:jc w:val="left"/>
              <w:rPr>
                <w:rFonts w:ascii="Arial" w:hAnsi="Arial" w:cs="Arial"/>
                <w:b/>
                <w:b/>
                <w:bCs/>
                <w:color w:val="C00000"/>
                <w:sz w:val="18"/>
                <w:szCs w:val="18"/>
              </w:rPr>
            </w:pPr>
            <w:r>
              <w:rPr>
                <w:rFonts w:eastAsia="Calibri" w:cs="Arial" w:ascii="Arial" w:hAnsi="Arial"/>
                <w:b/>
                <w:bCs/>
                <w:color w:val="C00000"/>
                <w:sz w:val="18"/>
                <w:szCs w:val="18"/>
                <w:lang w:val="hr-HR" w:eastAsia="en-US" w:bidi="ar-SA"/>
              </w:rPr>
              <w:t>Mjera 10.</w:t>
            </w:r>
            <w:r>
              <w:rPr>
                <w:rFonts w:eastAsia="Calibri" w:cs="Arial" w:ascii="Arial" w:hAnsi="Arial"/>
                <w:b/>
                <w:bCs/>
                <w:color w:val="000000" w:themeColor="text1"/>
                <w:sz w:val="18"/>
                <w:szCs w:val="18"/>
                <w:lang w:val="hr-HR" w:eastAsia="en-US" w:bidi="ar-SA"/>
              </w:rPr>
              <w:t xml:space="preserve"> Jačanje pripravnosti i otpornosti lokalne zajednice na krizne i izvanredne situacije</w:t>
            </w:r>
          </w:p>
        </w:tc>
      </w:tr>
    </w:tbl>
    <w:p>
      <w:pPr>
        <w:pStyle w:val="Normal"/>
        <w:bidi w:val="0"/>
        <w:spacing w:before="0" w:after="0"/>
        <w:jc w:val="left"/>
        <w:rPr>
          <w:rFonts w:ascii="Arial" w:hAnsi="Arial"/>
          <w:b/>
          <w:b/>
          <w:sz w:val="24"/>
        </w:rPr>
      </w:pPr>
      <w:r>
        <w:rPr>
          <w:rFonts w:ascii="Arial" w:hAnsi="Arial"/>
          <w:b/>
          <w:sz w:val="24"/>
        </w:rPr>
      </w:r>
    </w:p>
    <w:p>
      <w:pPr>
        <w:pStyle w:val="Stilnaslova1"/>
        <w:numPr>
          <w:ilvl w:val="0"/>
          <w:numId w:val="3"/>
        </w:numPr>
        <w:bidi w:val="0"/>
        <w:jc w:val="left"/>
        <w:rPr/>
      </w:pPr>
      <w:bookmarkStart w:id="12" w:name="_Toc203651350"/>
      <w:r>
        <w:rPr/>
        <w:t>POPIS MJERA S OPISOM, KLJUČNIM AKTIVNOSTIMA I POKAZATELJIMA REZULTATA</w:t>
      </w:r>
      <w:bookmarkEnd w:id="12"/>
    </w:p>
    <w:p>
      <w:pPr>
        <w:pStyle w:val="Normal"/>
        <w:bidi w:val="0"/>
        <w:spacing w:before="0" w:after="0"/>
        <w:jc w:val="center"/>
        <w:rPr>
          <w:rFonts w:ascii="Arial" w:hAnsi="Arial"/>
          <w:b/>
          <w:b/>
          <w:sz w:val="24"/>
        </w:rPr>
      </w:pPr>
      <w:r>
        <w:rPr>
          <w:rFonts w:ascii="Arial" w:hAnsi="Arial"/>
          <w:b/>
          <w:sz w:val="24"/>
        </w:rPr>
      </w:r>
    </w:p>
    <w:p>
      <w:pPr>
        <w:pStyle w:val="Normal"/>
        <w:shd w:val="clear" w:color="auto" w:fill="F2F2F2" w:themeFill="background1" w:themeFillShade="f2"/>
        <w:bidi w:val="0"/>
        <w:spacing w:before="0" w:after="0"/>
        <w:jc w:val="left"/>
        <w:rPr>
          <w:rFonts w:ascii="Arial" w:hAnsi="Arial"/>
          <w:b/>
          <w:b/>
          <w:sz w:val="24"/>
        </w:rPr>
      </w:pPr>
      <w:r>
        <w:rPr>
          <w:rFonts w:ascii="Arial" w:hAnsi="Arial"/>
          <w:b/>
          <w:sz w:val="24"/>
        </w:rPr>
        <w:t>Mjera 1. Osiguranje kvalitetnog i uključivog obrazovanja za svu djecu i mlade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Ova mjera ima za cilj omogućiti jednak, kvalitetan i dostupan odgojno-obrazovni sustav svim stanovnicima Općine Negoslavci, od najranije dobi do završetka njihovog obrazovanja. Fokus je na ulaganjima u predškolsku i osnovnoškolsku infrastrukturu, unaprjeđenju obrazovnih uvjeta, potpori socijalno osjetljivim skupinama, te sufinanciranju javnog prijevoza srednjoškolaca, kako bi obrazovanje bilo dostupno i održivo za sve obitelji.</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bCs/>
          <w:sz w:val="24"/>
        </w:rPr>
      </w:pPr>
      <w:r>
        <w:rPr>
          <w:rFonts w:ascii="Arial" w:hAnsi="Arial"/>
          <w:bCs/>
          <w:sz w:val="24"/>
        </w:rPr>
        <w:t>Svrha ove mjere je osigurati ravnopravne mogućnosti za kvalitetno obrazovanje djece i mladih, bez obzira na njihove socijalne, ekonomske ili razvojne okolnosti. Cilj je stvaranje inkluzivnog, sigurnog i poticajnog obrazovnog okruženja koje doprinosi razvoju kompetencija, socijalnoj uključenosti i osobnom rastu svakog djeteta i mladog čovjeka. Provedbom mjere želi se povećati obuhvat predškolskog i osnovnoškolskog obrazovanja, smanjiti prepreke pristupu srednjoškolskom obrazovanju kroz sufinanciranje prijevoza, te osigurati dodatnu podršku onima kojima je potrebna, čime se doprinosi dugoročnoj demografskoj i socio-ekonomskoj održivosti zajednice.</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b/>
          <w:b/>
          <w:sz w:val="24"/>
        </w:rPr>
      </w:pPr>
      <w:bookmarkStart w:id="13" w:name="_Hlk199835375"/>
      <w:r>
        <w:rPr>
          <w:rFonts w:ascii="Arial" w:hAnsi="Arial"/>
          <w:b/>
          <w:sz w:val="24"/>
        </w:rPr>
        <w:t>Procijenjeni trošak provedbe mjere: 264.250,00 €</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before="0" w:after="0"/>
        <w:contextualSpacing/>
        <w:jc w:val="both"/>
        <w:rPr>
          <w:rFonts w:ascii="Arial" w:hAnsi="Arial" w:cs="Arial"/>
          <w:color w:val="002060"/>
          <w:sz w:val="24"/>
          <w:szCs w:val="24"/>
        </w:rPr>
      </w:pPr>
      <w:r>
        <w:rPr>
          <w:rFonts w:cs="Arial" w:ascii="Arial" w:hAnsi="Arial"/>
          <w:color w:val="000000" w:themeColor="text1"/>
          <w:sz w:val="24"/>
          <w:szCs w:val="24"/>
        </w:rPr>
        <w:t>1004 Javne potrebe u obrazovanju općine Negoslavci</w:t>
      </w:r>
    </w:p>
    <w:p>
      <w:pPr>
        <w:pStyle w:val="ListParagraph"/>
        <w:numPr>
          <w:ilvl w:val="0"/>
          <w:numId w:val="11"/>
        </w:numPr>
        <w:bidi w:val="0"/>
        <w:spacing w:before="0" w:after="0"/>
        <w:contextualSpacing/>
        <w:jc w:val="both"/>
        <w:rPr>
          <w:rFonts w:ascii="Arial" w:hAnsi="Arial" w:cs="Arial"/>
          <w:color w:val="000000" w:themeColor="text1"/>
          <w:sz w:val="24"/>
          <w:szCs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before="0" w:after="0"/>
        <w:contextualSpacing/>
        <w:jc w:val="both"/>
        <w:rPr>
          <w:rFonts w:ascii="Arial" w:hAnsi="Arial" w:cs="Arial"/>
          <w:color w:val="000000" w:themeColor="text1"/>
          <w:sz w:val="24"/>
          <w:szCs w:val="24"/>
        </w:rPr>
      </w:pPr>
      <w:r>
        <w:rPr>
          <w:rFonts w:cs="Arial" w:ascii="Arial" w:hAnsi="Arial"/>
          <w:color w:val="000000" w:themeColor="text1"/>
          <w:sz w:val="24"/>
          <w:szCs w:val="24"/>
        </w:rPr>
        <w:t>A1004 01 Predškola</w:t>
      </w:r>
      <w:bookmarkStart w:id="14" w:name="_Hlk199762471"/>
    </w:p>
    <w:p>
      <w:pPr>
        <w:pStyle w:val="ListParagraph"/>
        <w:numPr>
          <w:ilvl w:val="1"/>
          <w:numId w:val="11"/>
        </w:numPr>
        <w:bidi w:val="0"/>
        <w:spacing w:before="0" w:after="0"/>
        <w:contextualSpacing/>
        <w:jc w:val="both"/>
        <w:rPr>
          <w:rFonts w:ascii="Arial" w:hAnsi="Arial" w:cs="Arial"/>
          <w:color w:val="000000" w:themeColor="text1"/>
          <w:sz w:val="24"/>
          <w:szCs w:val="24"/>
        </w:rPr>
      </w:pPr>
      <w:r>
        <w:rPr>
          <w:rFonts w:cs="Arial" w:ascii="Arial" w:hAnsi="Arial"/>
          <w:color w:val="000000" w:themeColor="text1"/>
          <w:sz w:val="24"/>
          <w:szCs w:val="24"/>
        </w:rPr>
        <w:t xml:space="preserve">A1004 02 </w:t>
      </w:r>
      <w:bookmarkEnd w:id="14"/>
      <w:r>
        <w:rPr>
          <w:rFonts w:cs="Arial" w:ascii="Arial" w:hAnsi="Arial"/>
          <w:color w:val="000000" w:themeColor="text1"/>
          <w:sz w:val="24"/>
          <w:szCs w:val="24"/>
        </w:rPr>
        <w:t>Sufinanciranje javnog prijevoza srednjoškolskih učenika</w:t>
      </w:r>
    </w:p>
    <w:p>
      <w:pPr>
        <w:pStyle w:val="ListParagraph"/>
        <w:numPr>
          <w:ilvl w:val="1"/>
          <w:numId w:val="11"/>
        </w:numPr>
        <w:bidi w:val="0"/>
        <w:spacing w:before="0" w:after="0"/>
        <w:contextualSpacing/>
        <w:jc w:val="both"/>
        <w:rPr>
          <w:rFonts w:ascii="Arial" w:hAnsi="Arial" w:cs="Arial"/>
          <w:color w:val="000000" w:themeColor="text1"/>
          <w:sz w:val="24"/>
          <w:szCs w:val="24"/>
        </w:rPr>
      </w:pPr>
      <w:r>
        <w:rPr>
          <w:rFonts w:cs="Arial" w:ascii="Arial" w:hAnsi="Arial"/>
          <w:color w:val="000000" w:themeColor="text1"/>
          <w:sz w:val="24"/>
          <w:szCs w:val="24"/>
        </w:rPr>
        <w:t>A1004 03</w:t>
      </w:r>
      <w:r>
        <w:rPr/>
        <w:t xml:space="preserve"> </w:t>
      </w:r>
      <w:r>
        <w:rPr>
          <w:rFonts w:cs="Arial" w:ascii="Arial" w:hAnsi="Arial"/>
          <w:color w:val="000000" w:themeColor="text1"/>
          <w:sz w:val="24"/>
          <w:szCs w:val="24"/>
        </w:rPr>
        <w:t>Osnovno školstvo</w:t>
      </w:r>
      <w:bookmarkEnd w:id="13"/>
    </w:p>
    <w:p>
      <w:pPr>
        <w:pStyle w:val="Normal"/>
        <w:bidi w:val="0"/>
        <w:spacing w:before="0" w:after="0"/>
        <w:jc w:val="left"/>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bookmarkStart w:id="15" w:name="_Hlk199834659"/>
            <w:bookmarkEnd w:id="15"/>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338"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FF0000"/>
                <w:sz w:val="20"/>
                <w:szCs w:val="20"/>
              </w:rPr>
            </w:pPr>
            <w:r>
              <w:rPr>
                <w:rFonts w:eastAsia="Arial" w:cs="Arial" w:ascii="Arial" w:hAnsi="Arial"/>
                <w:color w:val="000000" w:themeColor="text1"/>
                <w:sz w:val="20"/>
                <w:szCs w:val="20"/>
                <w:lang w:val="hr-HR" w:eastAsia="en-US" w:bidi="ar-SA"/>
              </w:rPr>
              <w:t>Osiguranje boljih uvjeta za provedbu predškolskog odgoja</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lang w:val="hr-HR" w:eastAsia="en-US" w:bidi="ar-SA"/>
              </w:rPr>
              <w:t>prosinac tekuće godine</w:t>
            </w:r>
          </w:p>
        </w:tc>
        <w:tc>
          <w:tcPr>
            <w:tcW w:w="2700" w:type="dxa"/>
            <w:vMerge w:val="restart"/>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lang w:val="hr-HR" w:eastAsia="en-US" w:bidi="ar-SA"/>
              </w:rPr>
              <w:t>prosinac 2029.</w:t>
            </w:r>
          </w:p>
        </w:tc>
      </w:tr>
      <w:tr>
        <w:trPr>
          <w:trHeight w:val="694"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Sufinanciranjem javnog prijevoza srednjoškolskih učenika nastoji se smanjiti financijski teret roditeljima i potaknuti ostanak mladih u lokalnoj zajednici osiguravajući im pristup kvalitetnom srednjoškolskom obrazovanju</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lang w:val="hr-HR" w:eastAsia="en-US" w:bidi="ar-SA"/>
              </w:rPr>
              <w:t>prosinac tekuće godine</w:t>
            </w:r>
          </w:p>
        </w:tc>
        <w:tc>
          <w:tcPr>
            <w:tcW w:w="2700" w:type="dxa"/>
            <w:vMerge w:val="continue"/>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r>
          </w:p>
        </w:tc>
      </w:tr>
      <w:tr>
        <w:trPr>
          <w:trHeight w:val="1644"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Unaprjeđenje uvjeta za</w:t>
            </w:r>
            <w:r>
              <w:rPr>
                <w:rFonts w:eastAsia="Arial"/>
                <w:color w:val="000000" w:themeColor="text1"/>
                <w:lang w:val="hr-HR" w:eastAsia="en-US" w:bidi="ar-SA"/>
              </w:rPr>
              <w:t xml:space="preserve"> </w:t>
            </w:r>
            <w:r>
              <w:rPr>
                <w:rFonts w:eastAsia="Arial" w:cs="Arial" w:ascii="Arial" w:hAnsi="Arial"/>
                <w:color w:val="000000" w:themeColor="text1"/>
                <w:sz w:val="20"/>
                <w:szCs w:val="20"/>
                <w:lang w:val="hr-HR" w:eastAsia="en-US" w:bidi="ar-SA"/>
              </w:rPr>
              <w:t>osnovnoškolsko obrazovanje (tekuće donacije OŠ, obuća za školarce, sufinanciranje ekskurzije učenicima, sufinanciranje škole plivanja)</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lang w:val="hr-HR" w:eastAsia="en-US" w:bidi="ar-SA"/>
              </w:rPr>
              <w:t>prosinac tekuće godine</w:t>
            </w:r>
          </w:p>
        </w:tc>
        <w:tc>
          <w:tcPr>
            <w:tcW w:w="2700" w:type="dxa"/>
            <w:vMerge w:val="continue"/>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r>
            <w:bookmarkStart w:id="16" w:name="_Hlk1998346591"/>
            <w:bookmarkStart w:id="17" w:name="_Hlk1998346591"/>
            <w:bookmarkEnd w:id="17"/>
          </w:p>
        </w:tc>
      </w:tr>
    </w:tbl>
    <w:p>
      <w:pPr>
        <w:pStyle w:val="Normal"/>
        <w:bidi w:val="0"/>
        <w:spacing w:before="0" w:after="0"/>
        <w:jc w:val="left"/>
        <w:rPr>
          <w:rFonts w:ascii="Arial" w:hAnsi="Arial"/>
          <w:b/>
          <w:b/>
          <w:sz w:val="24"/>
        </w:rPr>
      </w:pPr>
      <w:r>
        <w:rPr>
          <w:rFonts w:ascii="Arial" w:hAnsi="Arial"/>
          <w:b/>
          <w:sz w:val="24"/>
        </w:rPr>
      </w:r>
    </w:p>
    <w:p>
      <w:pPr>
        <w:pStyle w:val="Normal"/>
        <w:bidi w:val="0"/>
        <w:spacing w:before="0" w:after="0"/>
        <w:jc w:val="left"/>
        <w:rPr>
          <w:rFonts w:ascii="Arial" w:hAnsi="Arial"/>
          <w:b/>
          <w:b/>
          <w:sz w:val="24"/>
        </w:rPr>
      </w:pPr>
      <w:r>
        <w:rPr>
          <w:rFonts w:ascii="Arial" w:hAnsi="Arial"/>
          <w:b/>
          <w:sz w:val="24"/>
        </w:rPr>
      </w:r>
    </w:p>
    <w:p>
      <w:pPr>
        <w:pStyle w:val="Normal"/>
        <w:bidi w:val="0"/>
        <w:spacing w:before="0" w:after="0"/>
        <w:jc w:val="left"/>
        <w:rPr>
          <w:rFonts w:ascii="Arial" w:hAnsi="Arial"/>
          <w:b/>
          <w:b/>
          <w:sz w:val="24"/>
        </w:rPr>
      </w:pPr>
      <w:r>
        <w:rPr>
          <w:rFonts w:ascii="Arial" w:hAnsi="Arial"/>
          <w:b/>
          <w:sz w:val="24"/>
        </w:rPr>
      </w:r>
    </w:p>
    <w:p>
      <w:pPr>
        <w:pStyle w:val="Normal"/>
        <w:bidi w:val="0"/>
        <w:spacing w:before="0" w:after="0"/>
        <w:jc w:val="left"/>
        <w:rPr>
          <w:rFonts w:ascii="Arial" w:hAnsi="Arial"/>
          <w:b/>
          <w:b/>
          <w:sz w:val="24"/>
        </w:rPr>
      </w:pPr>
      <w:r>
        <w:rPr>
          <w:rFonts w:ascii="Arial" w:hAnsi="Arial"/>
          <w:b/>
          <w:sz w:val="24"/>
        </w:rPr>
      </w:r>
    </w:p>
    <w:p>
      <w:pPr>
        <w:pStyle w:val="Normal"/>
        <w:bidi w:val="0"/>
        <w:spacing w:before="0" w:after="0"/>
        <w:jc w:val="left"/>
        <w:rPr>
          <w:rFonts w:ascii="Arial" w:hAnsi="Arial"/>
          <w:b/>
          <w:b/>
          <w:sz w:val="24"/>
        </w:rPr>
      </w:pPr>
      <w:r>
        <w:rPr>
          <w:rFonts w:ascii="Arial" w:hAnsi="Arial"/>
          <w:b/>
          <w:sz w:val="24"/>
        </w:rPr>
      </w:r>
    </w:p>
    <w:p>
      <w:pPr>
        <w:pStyle w:val="Normal"/>
        <w:bidi w:val="0"/>
        <w:spacing w:before="0" w:after="0"/>
        <w:jc w:val="left"/>
        <w:rPr>
          <w:rFonts w:ascii="Arial" w:hAnsi="Arial"/>
          <w:b/>
          <w:b/>
          <w:sz w:val="24"/>
        </w:rPr>
      </w:pPr>
      <w:r>
        <w:rPr>
          <w:rFonts w:ascii="Arial" w:hAnsi="Arial"/>
          <w:b/>
          <w:sz w:val="24"/>
        </w:rPr>
      </w:r>
    </w:p>
    <w:p>
      <w:pPr>
        <w:pStyle w:val="Normal"/>
        <w:bidi w:val="0"/>
        <w:spacing w:before="0" w:after="0"/>
        <w:jc w:val="left"/>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682"/>
        <w:gridCol w:w="1512"/>
        <w:gridCol w:w="1466"/>
        <w:gridCol w:w="1467"/>
        <w:gridCol w:w="1467"/>
        <w:gridCol w:w="1467"/>
      </w:tblGrid>
      <w:tr>
        <w:trPr/>
        <w:tc>
          <w:tcPr>
            <w:tcW w:w="1682"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512"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5867"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682"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12"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466"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467"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467"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67"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1244" w:hRule="atLeast"/>
        </w:trPr>
        <w:tc>
          <w:tcPr>
            <w:tcW w:w="1682"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djece uključene u program predškole</w:t>
            </w:r>
          </w:p>
        </w:tc>
        <w:tc>
          <w:tcPr>
            <w:tcW w:w="1512"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19</w:t>
            </w:r>
          </w:p>
        </w:tc>
        <w:tc>
          <w:tcPr>
            <w:tcW w:w="1466"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17</w:t>
            </w:r>
          </w:p>
        </w:tc>
        <w:tc>
          <w:tcPr>
            <w:tcW w:w="146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17</w:t>
            </w:r>
          </w:p>
        </w:tc>
        <w:tc>
          <w:tcPr>
            <w:tcW w:w="146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16</w:t>
            </w:r>
          </w:p>
        </w:tc>
        <w:tc>
          <w:tcPr>
            <w:tcW w:w="146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16</w:t>
            </w:r>
          </w:p>
        </w:tc>
      </w:tr>
      <w:tr>
        <w:trPr>
          <w:trHeight w:val="1244" w:hRule="atLeast"/>
        </w:trPr>
        <w:tc>
          <w:tcPr>
            <w:tcW w:w="1682"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srednjoškolskih učenika s prebivalištem u Općini Negoslavci koji su ostvarili pravo na sufinancirani javni prijevoz</w:t>
            </w:r>
          </w:p>
        </w:tc>
        <w:tc>
          <w:tcPr>
            <w:tcW w:w="1512"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29</w:t>
            </w:r>
          </w:p>
        </w:tc>
        <w:tc>
          <w:tcPr>
            <w:tcW w:w="1466"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27</w:t>
            </w:r>
          </w:p>
        </w:tc>
        <w:tc>
          <w:tcPr>
            <w:tcW w:w="146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27</w:t>
            </w:r>
          </w:p>
        </w:tc>
        <w:tc>
          <w:tcPr>
            <w:tcW w:w="146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26</w:t>
            </w:r>
          </w:p>
        </w:tc>
        <w:tc>
          <w:tcPr>
            <w:tcW w:w="146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26</w:t>
            </w:r>
          </w:p>
        </w:tc>
      </w:tr>
      <w:tr>
        <w:trPr>
          <w:trHeight w:val="1803" w:hRule="atLeast"/>
        </w:trPr>
        <w:tc>
          <w:tcPr>
            <w:tcW w:w="1682"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Ukupni broj osnovnoškolskih učenika obuhvaćenih jednom ili više aktivnosti sufinanciranja</w:t>
            </w:r>
          </w:p>
        </w:tc>
        <w:tc>
          <w:tcPr>
            <w:tcW w:w="1512"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80</w:t>
            </w:r>
          </w:p>
        </w:tc>
        <w:tc>
          <w:tcPr>
            <w:tcW w:w="1466"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80</w:t>
            </w:r>
          </w:p>
        </w:tc>
        <w:tc>
          <w:tcPr>
            <w:tcW w:w="146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80</w:t>
            </w:r>
          </w:p>
        </w:tc>
        <w:tc>
          <w:tcPr>
            <w:tcW w:w="146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75</w:t>
            </w:r>
          </w:p>
        </w:tc>
        <w:tc>
          <w:tcPr>
            <w:tcW w:w="146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75</w:t>
            </w:r>
          </w:p>
        </w:tc>
      </w:tr>
    </w:tbl>
    <w:p>
      <w:pPr>
        <w:pStyle w:val="Normal"/>
        <w:bidi w:val="0"/>
        <w:spacing w:before="0" w:after="0"/>
        <w:jc w:val="center"/>
        <w:rPr>
          <w:rFonts w:ascii="Arial" w:hAnsi="Arial"/>
          <w:b/>
          <w:b/>
          <w:sz w:val="24"/>
        </w:rPr>
      </w:pPr>
      <w:r>
        <w:rPr>
          <w:rFonts w:ascii="Arial" w:hAnsi="Arial"/>
          <w:b/>
          <w:sz w:val="24"/>
        </w:rPr>
      </w:r>
    </w:p>
    <w:p>
      <w:pPr>
        <w:pStyle w:val="Normal"/>
        <w:bidi w:val="0"/>
        <w:spacing w:before="0" w:after="0"/>
        <w:jc w:val="center"/>
        <w:rPr>
          <w:rFonts w:ascii="Arial" w:hAnsi="Arial"/>
          <w:b/>
          <w:b/>
          <w:sz w:val="24"/>
        </w:rPr>
      </w:pPr>
      <w:r>
        <w:rPr>
          <w:rFonts w:ascii="Arial" w:hAnsi="Arial"/>
          <w:b/>
          <w:sz w:val="24"/>
        </w:rPr>
      </w:r>
    </w:p>
    <w:p>
      <w:pPr>
        <w:pStyle w:val="Normal"/>
        <w:shd w:val="clear" w:color="auto" w:fill="F2F2F2" w:themeFill="background1" w:themeFillShade="f2"/>
        <w:bidi w:val="0"/>
        <w:spacing w:before="0" w:after="0"/>
        <w:jc w:val="left"/>
        <w:rPr>
          <w:rFonts w:ascii="Arial" w:hAnsi="Arial"/>
          <w:b/>
          <w:b/>
          <w:sz w:val="24"/>
        </w:rPr>
      </w:pPr>
      <w:bookmarkStart w:id="18" w:name="_Hlk199836678"/>
      <w:r>
        <w:rPr>
          <w:rFonts w:ascii="Arial" w:hAnsi="Arial"/>
          <w:b/>
          <w:sz w:val="24"/>
        </w:rPr>
        <w:t>Mjera 2. Poticanje demografske obnove i podrška mladim obiteljima</w:t>
      </w:r>
      <w:bookmarkEnd w:id="18"/>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bCs/>
          <w:sz w:val="24"/>
        </w:rPr>
      </w:pPr>
      <w:r>
        <w:rPr>
          <w:rFonts w:ascii="Arial" w:hAnsi="Arial"/>
          <w:bCs/>
          <w:sz w:val="24"/>
        </w:rPr>
        <w:t>Ova mjera usmjerena je na zaustavljanje negativnih demografskih trendova i poticanje ostanka mladih ljudi i obitelji na području Općine Negoslavci.</w:t>
      </w:r>
      <w:r>
        <w:rPr/>
        <w:t xml:space="preserve"> </w:t>
      </w:r>
      <w:r>
        <w:rPr>
          <w:rFonts w:ascii="Arial" w:hAnsi="Arial"/>
          <w:bCs/>
          <w:sz w:val="24"/>
        </w:rPr>
        <w:t>Kroz ciljane financijske pomoći – od rođenja djeteta, preko školovanja, do ulaska u svijet rada ili poduzetništva – Općina želi pružiti konkretnu potporu mladim ljudima i obiteljima u svim ključnim životnim fazama.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Programom demografskih mjera donosi se radi rješavanja problematike demografskog stanja na području Općine Negoslavci. Općina planira poticati stambeno zbrinjavanje mladih i mladih obitelji te stvoriti preduvjete za otvaranje novih radnih mjesta ulaganjem u razvoj zajednice radi poboljšanja uvjeta života svih stanovnika na području Negoslavaca.</w:t>
      </w:r>
    </w:p>
    <w:p>
      <w:pPr>
        <w:pStyle w:val="Normal"/>
        <w:bidi w:val="0"/>
        <w:spacing w:before="0" w:after="0"/>
        <w:jc w:val="left"/>
        <w:rPr>
          <w:rFonts w:ascii="Arial" w:hAnsi="Arial"/>
          <w:b/>
          <w:b/>
          <w:sz w:val="24"/>
        </w:rPr>
      </w:pPr>
      <w:r>
        <w:rPr>
          <w:rFonts w:ascii="Arial" w:hAnsi="Arial"/>
          <w:b/>
          <w:sz w:val="24"/>
        </w:rPr>
      </w:r>
    </w:p>
    <w:p>
      <w:pPr>
        <w:pStyle w:val="Normal"/>
        <w:bidi w:val="0"/>
        <w:spacing w:before="0" w:after="0"/>
        <w:jc w:val="both"/>
        <w:rPr>
          <w:rFonts w:ascii="Arial" w:hAnsi="Arial"/>
          <w:bCs/>
          <w:sz w:val="24"/>
        </w:rPr>
      </w:pPr>
      <w:r>
        <w:rPr>
          <w:rFonts w:ascii="Arial" w:hAnsi="Arial"/>
          <w:bCs/>
          <w:sz w:val="24"/>
        </w:rPr>
        <w:t>Svrha ove mjere je ublažiti negativne demografske trendove i potaknuti ostanak, povratak i naseljavanje mladih obitelji na području Općine Negoslavci. Kroz ciljane financijske potpore – od rođenja djeteta, preko školovanja do osamostaljenja mladih – mjera ima za cilj povećati natalitet, olakšati roditeljstvo, ojačati obrazovne uvjete za djecu te potaknuti gospodarsku aktivnost mladih. Time se doprinosi dugoročnoj održivosti lokalne zajednice i jačanju društvene kohezije.</w:t>
      </w:r>
    </w:p>
    <w:p>
      <w:pPr>
        <w:pStyle w:val="Normal"/>
        <w:bidi w:val="0"/>
        <w:spacing w:before="0" w:after="0"/>
        <w:jc w:val="left"/>
        <w:rPr>
          <w:rFonts w:ascii="Arial" w:hAnsi="Arial"/>
          <w:b/>
          <w:b/>
          <w:sz w:val="24"/>
        </w:rPr>
      </w:pPr>
      <w:r>
        <w:rPr>
          <w:rFonts w:ascii="Arial" w:hAnsi="Arial"/>
          <w:b/>
          <w:sz w:val="24"/>
        </w:rPr>
      </w:r>
    </w:p>
    <w:p>
      <w:pPr>
        <w:pStyle w:val="Normal"/>
        <w:bidi w:val="0"/>
        <w:spacing w:lineRule="auto" w:line="276" w:before="0" w:after="0"/>
        <w:jc w:val="both"/>
        <w:rPr>
          <w:rFonts w:ascii="Arial" w:hAnsi="Arial"/>
          <w:b/>
          <w:b/>
          <w:sz w:val="24"/>
        </w:rPr>
      </w:pPr>
      <w:bookmarkStart w:id="19" w:name="_Hlk199837877"/>
      <w:bookmarkEnd w:id="19"/>
      <w:r>
        <w:rPr>
          <w:rFonts w:ascii="Arial" w:hAnsi="Arial"/>
          <w:b/>
          <w:sz w:val="24"/>
        </w:rPr>
        <w:t>Procijenjeni trošak provedbe mjere: 150.000,00 €</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before="0" w:after="0"/>
        <w:contextualSpacing/>
        <w:jc w:val="both"/>
        <w:rPr>
          <w:rFonts w:ascii="Arial" w:hAnsi="Arial" w:cs="Arial"/>
          <w:color w:val="002060"/>
          <w:sz w:val="24"/>
          <w:szCs w:val="24"/>
        </w:rPr>
      </w:pPr>
      <w:r>
        <w:rPr>
          <w:rFonts w:cs="Arial" w:ascii="Arial" w:hAnsi="Arial"/>
          <w:color w:val="000000" w:themeColor="text1"/>
          <w:sz w:val="24"/>
          <w:szCs w:val="24"/>
        </w:rPr>
        <w:t>1010 Demografske mjere Općine Negoslavci</w:t>
      </w:r>
    </w:p>
    <w:p>
      <w:pPr>
        <w:pStyle w:val="ListParagraph"/>
        <w:numPr>
          <w:ilvl w:val="0"/>
          <w:numId w:val="11"/>
        </w:numPr>
        <w:bidi w:val="0"/>
        <w:spacing w:before="0" w:after="0"/>
        <w:contextualSpacing/>
        <w:jc w:val="both"/>
        <w:rPr>
          <w:rFonts w:ascii="Arial" w:hAnsi="Arial" w:cs="Arial"/>
          <w:color w:val="000000" w:themeColor="text1"/>
          <w:sz w:val="24"/>
          <w:szCs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before="0" w:after="0"/>
        <w:contextualSpacing/>
        <w:jc w:val="both"/>
        <w:rPr>
          <w:rFonts w:ascii="Arial" w:hAnsi="Arial" w:cs="Arial"/>
          <w:color w:val="000000" w:themeColor="text1"/>
          <w:sz w:val="24"/>
          <w:szCs w:val="24"/>
        </w:rPr>
      </w:pPr>
      <w:r>
        <w:rPr>
          <w:rFonts w:cs="Arial" w:ascii="Arial" w:hAnsi="Arial"/>
          <w:color w:val="000000" w:themeColor="text1"/>
          <w:sz w:val="24"/>
          <w:szCs w:val="24"/>
        </w:rPr>
        <w:t>A1010 01 Demografske mjere Općine Negoslavci</w:t>
      </w:r>
    </w:p>
    <w:p>
      <w:pPr>
        <w:pStyle w:val="Normal"/>
        <w:bidi w:val="0"/>
        <w:spacing w:before="0" w:after="0"/>
        <w:jc w:val="both"/>
        <w:rPr>
          <w:rFonts w:ascii="Arial" w:hAnsi="Arial" w:cs="Arial"/>
          <w:color w:val="000000" w:themeColor="text1"/>
          <w:sz w:val="24"/>
          <w:szCs w:val="24"/>
        </w:rPr>
      </w:pPr>
      <w:r>
        <w:rPr>
          <w:rFonts w:cs="Arial" w:ascii="Arial" w:hAnsi="Arial"/>
          <w:color w:val="000000" w:themeColor="text1"/>
          <w:sz w:val="24"/>
          <w:szCs w:val="24"/>
        </w:rPr>
      </w:r>
      <w:bookmarkStart w:id="20" w:name="_Hlk1998378771"/>
      <w:bookmarkStart w:id="21" w:name="_Hlk1998378771"/>
      <w:bookmarkEnd w:id="21"/>
    </w:p>
    <w:p>
      <w:pPr>
        <w:pStyle w:val="Normal"/>
        <w:bidi w:val="0"/>
        <w:spacing w:before="0" w:after="0"/>
        <w:jc w:val="left"/>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020"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FF0000"/>
                <w:sz w:val="20"/>
                <w:szCs w:val="20"/>
              </w:rPr>
            </w:pPr>
            <w:r>
              <w:rPr>
                <w:rFonts w:eastAsia="Arial" w:cs="Arial" w:ascii="Arial" w:hAnsi="Arial"/>
                <w:color w:val="000000" w:themeColor="text1"/>
                <w:sz w:val="20"/>
                <w:szCs w:val="20"/>
                <w:lang w:val="hr-HR" w:eastAsia="en-US" w:bidi="ar-SA"/>
              </w:rPr>
              <w:t>Dodjela jednokratnih pomoći za novorođenčad i za mlade obitelji</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lang w:val="hr-HR" w:eastAsia="en-US" w:bidi="ar-SA"/>
              </w:rPr>
              <w:t>prosinac tekuće godine</w:t>
            </w:r>
          </w:p>
        </w:tc>
        <w:tc>
          <w:tcPr>
            <w:tcW w:w="2700" w:type="dxa"/>
            <w:vMerge w:val="restart"/>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lang w:val="hr-HR" w:eastAsia="en-US" w:bidi="ar-SA"/>
              </w:rPr>
              <w:t>prosinac 2029.</w:t>
            </w:r>
          </w:p>
        </w:tc>
      </w:tr>
      <w:tr>
        <w:trPr>
          <w:trHeight w:val="1020"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Redovita odjela stipendija za srednjoškolce i studente s prebivalištem u Općini Negoslavci</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lang w:val="hr-HR" w:eastAsia="en-US" w:bidi="ar-SA"/>
              </w:rPr>
              <w:t>prosinac tekuće godine</w:t>
            </w:r>
          </w:p>
        </w:tc>
        <w:tc>
          <w:tcPr>
            <w:tcW w:w="2700" w:type="dxa"/>
            <w:vMerge w:val="continue"/>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r>
          </w:p>
        </w:tc>
      </w:tr>
      <w:tr>
        <w:trPr>
          <w:trHeight w:val="1020"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Sufinanciranje boravka djece u vrtiću i pomoći za đake prvake</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lang w:val="hr-HR" w:eastAsia="en-US" w:bidi="ar-SA"/>
              </w:rPr>
              <w:t>prosinac tekuće godine</w:t>
            </w:r>
          </w:p>
        </w:tc>
        <w:tc>
          <w:tcPr>
            <w:tcW w:w="2700" w:type="dxa"/>
            <w:vMerge w:val="continue"/>
            <w:tcBorders/>
            <w:vAlign w:val="center"/>
          </w:tcPr>
          <w:p>
            <w:pPr>
              <w:pStyle w:val="Normal"/>
              <w:widowControl w:val="false"/>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r>
          </w:p>
        </w:tc>
      </w:tr>
    </w:tbl>
    <w:p>
      <w:pPr>
        <w:pStyle w:val="Normal"/>
        <w:bidi w:val="0"/>
        <w:spacing w:before="0" w:after="0"/>
        <w:jc w:val="left"/>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30"/>
        <w:gridCol w:w="1528"/>
        <w:gridCol w:w="1501"/>
        <w:gridCol w:w="1500"/>
        <w:gridCol w:w="1503"/>
        <w:gridCol w:w="1499"/>
      </w:tblGrid>
      <w:tr>
        <w:trPr/>
        <w:tc>
          <w:tcPr>
            <w:tcW w:w="1530"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528"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6003"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530"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28"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01"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500"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503"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99"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1134"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korisnika novčane potpore za novorođenčad</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6</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6</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6</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6</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5</w:t>
            </w:r>
          </w:p>
        </w:tc>
      </w:tr>
      <w:tr>
        <w:trPr>
          <w:trHeight w:val="1134"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dodijeljenih stipendija</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11</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12</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12</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12</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12</w:t>
            </w:r>
          </w:p>
        </w:tc>
      </w:tr>
      <w:tr>
        <w:trPr>
          <w:trHeight w:val="1134"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djece čiji je boravak u vrtiću sufinanciran</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25</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24</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23</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22</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21</w:t>
            </w:r>
          </w:p>
        </w:tc>
      </w:tr>
    </w:tbl>
    <w:p>
      <w:pPr>
        <w:pStyle w:val="Normal"/>
        <w:tabs>
          <w:tab w:val="clear" w:pos="709"/>
          <w:tab w:val="left" w:pos="612" w:leader="none"/>
        </w:tabs>
        <w:bidi w:val="0"/>
        <w:spacing w:before="0" w:after="0"/>
        <w:jc w:val="left"/>
        <w:rPr>
          <w:rFonts w:ascii="Arial" w:hAnsi="Arial"/>
          <w:b/>
          <w:b/>
          <w:sz w:val="24"/>
        </w:rPr>
      </w:pPr>
      <w:r>
        <w:rPr>
          <w:rFonts w:ascii="Arial" w:hAnsi="Arial"/>
          <w:b/>
          <w:sz w:val="24"/>
        </w:rPr>
      </w:r>
    </w:p>
    <w:p>
      <w:pPr>
        <w:pStyle w:val="Normal"/>
        <w:shd w:val="clear" w:color="auto" w:fill="F2F2F2" w:themeFill="background1" w:themeFillShade="f2"/>
        <w:bidi w:val="0"/>
        <w:spacing w:before="0" w:after="0"/>
        <w:jc w:val="left"/>
        <w:rPr>
          <w:rFonts w:ascii="Arial" w:hAnsi="Arial"/>
          <w:b/>
          <w:b/>
          <w:sz w:val="24"/>
        </w:rPr>
      </w:pPr>
      <w:r>
        <w:rPr>
          <w:rFonts w:ascii="Arial" w:hAnsi="Arial"/>
          <w:b/>
          <w:sz w:val="24"/>
        </w:rPr>
        <w:t>Mjera 3. Osiguranje osnovnih životnih uvjeta i socijalne sigurnosti za ugrožene skupine</w:t>
      </w:r>
    </w:p>
    <w:p>
      <w:pPr>
        <w:pStyle w:val="Normal"/>
        <w:bidi w:val="0"/>
        <w:spacing w:before="0" w:after="0"/>
        <w:jc w:val="left"/>
        <w:rPr>
          <w:rFonts w:ascii="Arial" w:hAnsi="Arial"/>
          <w:b/>
          <w:b/>
          <w:sz w:val="24"/>
        </w:rPr>
      </w:pPr>
      <w:r>
        <w:rPr>
          <w:rFonts w:ascii="Arial" w:hAnsi="Arial"/>
          <w:b/>
          <w:sz w:val="24"/>
        </w:rPr>
      </w:r>
    </w:p>
    <w:p>
      <w:pPr>
        <w:pStyle w:val="Normal"/>
        <w:bidi w:val="0"/>
        <w:spacing w:lineRule="auto" w:line="276" w:before="0" w:after="0"/>
        <w:jc w:val="both"/>
        <w:rPr>
          <w:rFonts w:ascii="Arial" w:hAnsi="Arial"/>
          <w:bCs/>
          <w:sz w:val="24"/>
        </w:rPr>
      </w:pPr>
      <w:r>
        <w:rPr>
          <w:rFonts w:ascii="Arial" w:hAnsi="Arial"/>
          <w:bCs/>
          <w:sz w:val="24"/>
        </w:rPr>
        <w:t>Cilj ove mjere je unaprijediti socijalnu sigurnost i kvalitetu života najugroženijih članova zajednice, osobito starijih osoba, samohranih roditelja, osoba s invaliditetom te kućanstava s niskim prihodima. Mjera obuhvaća aktivnosti kojima se ublažavaju posljedice siromaštva, socijalne isključenosti i kriznih životnih situacija, kroz pravovremene intervencije, materijalnu potporu i pristup osnovnim životnim resursima.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Programom javnih potreba u socijalnoj skrbi u Općini Negoslavci osigurava se zaštita i pomaganje ugroženih i nemoćnih osoba, osoba s invaliditetom i/ili drugih osoba koje same ili uz pomoć članova obitelji ne mogu zadovoljiti svoje potrebe zbog nepovoljnih osobnih, gospodarskih, socijalnih i drugih okolnosti.</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bCs/>
          <w:sz w:val="24"/>
        </w:rPr>
      </w:pPr>
      <w:r>
        <w:rPr>
          <w:rFonts w:ascii="Arial" w:hAnsi="Arial"/>
          <w:bCs/>
          <w:sz w:val="24"/>
        </w:rPr>
        <w:t>Svrha ove mjere je osigurati dostojanstven život i osnovne životne uvjete osobama i kućanstvima u socijalno nepovoljnom položaju, smanjiti rizik od siromaštva te ojačati socijalnu uključenost ranjivih skupina u zajednici. Provedbom mjere želi se spriječiti socijalna isključenost, ublažiti posljedice životnih kriza i omogućiti pravovremena podrška onima kojima je najpotrebnija, čime se jača društvena solidarnost i otpornost lokalne zajednice.</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b/>
          <w:b/>
          <w:sz w:val="24"/>
        </w:rPr>
      </w:pPr>
      <w:bookmarkStart w:id="22" w:name="_Hlk199839401"/>
      <w:r>
        <w:rPr>
          <w:rFonts w:ascii="Arial" w:hAnsi="Arial"/>
          <w:b/>
          <w:sz w:val="24"/>
        </w:rPr>
        <w:t>Procijenjeni trošak provedbe mjere: 197.750,00 €</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1007 Program javnih potreba u socijalnoj skrbi općine Negoslavci</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A1007 01</w:t>
      </w:r>
      <w:r>
        <w:rPr/>
        <w:t xml:space="preserve"> </w:t>
      </w:r>
      <w:r>
        <w:rPr>
          <w:rFonts w:cs="Arial" w:ascii="Arial" w:hAnsi="Arial"/>
          <w:color w:val="000000" w:themeColor="text1"/>
          <w:sz w:val="24"/>
          <w:szCs w:val="24"/>
        </w:rPr>
        <w:t>Pomoć u novcu pojedincima i obiteljima</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A1007 02,</w:t>
      </w:r>
      <w:r>
        <w:rPr/>
        <w:t xml:space="preserve"> </w:t>
      </w:r>
      <w:r>
        <w:rPr>
          <w:rFonts w:cs="Arial" w:ascii="Arial" w:hAnsi="Arial"/>
          <w:color w:val="000000" w:themeColor="text1"/>
          <w:sz w:val="24"/>
          <w:szCs w:val="24"/>
        </w:rPr>
        <w:t>Pomoć u novcu pojedincima i obiteljima - đaci i paketići</w:t>
      </w:r>
      <w:r>
        <w:rPr/>
        <w:t xml:space="preserve">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A1007 03</w:t>
      </w:r>
      <w:r>
        <w:rPr/>
        <w:t xml:space="preserve"> </w:t>
      </w:r>
      <w:r>
        <w:rPr>
          <w:rFonts w:cs="Arial" w:ascii="Arial" w:hAnsi="Arial"/>
          <w:color w:val="000000" w:themeColor="text1"/>
          <w:sz w:val="24"/>
          <w:szCs w:val="24"/>
        </w:rPr>
        <w:t>Crveni križ</w:t>
      </w:r>
      <w:bookmarkEnd w:id="22"/>
    </w:p>
    <w:p>
      <w:pPr>
        <w:pStyle w:val="Normal"/>
        <w:bidi w:val="0"/>
        <w:spacing w:before="0" w:after="0"/>
        <w:jc w:val="left"/>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793"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Osiguranje osnovne financijske i materijalne pomoći najugroženijim pojedincima i obiteljima kako bi se ublažile posljedice siromaštva i osigurala osnovna egzistencija.</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tekuće godine</w:t>
            </w:r>
          </w:p>
        </w:tc>
        <w:tc>
          <w:tcPr>
            <w:tcW w:w="2700"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2029.</w:t>
            </w:r>
          </w:p>
        </w:tc>
      </w:tr>
    </w:tbl>
    <w:p>
      <w:pPr>
        <w:pStyle w:val="Normal"/>
        <w:bidi w:val="0"/>
        <w:spacing w:before="0" w:after="0"/>
        <w:jc w:val="center"/>
        <w:rPr>
          <w:rFonts w:ascii="Arial" w:hAnsi="Arial"/>
          <w:b/>
          <w:b/>
          <w:sz w:val="24"/>
        </w:rPr>
      </w:pPr>
      <w:r>
        <w:rPr>
          <w:rFonts w:ascii="Arial" w:hAnsi="Arial"/>
          <w:b/>
          <w:sz w:val="24"/>
        </w:rPr>
      </w:r>
    </w:p>
    <w:p>
      <w:pPr>
        <w:pStyle w:val="Normal"/>
        <w:bidi w:val="0"/>
        <w:spacing w:before="0" w:after="0"/>
        <w:jc w:val="center"/>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30"/>
        <w:gridCol w:w="1528"/>
        <w:gridCol w:w="1501"/>
        <w:gridCol w:w="1500"/>
        <w:gridCol w:w="1503"/>
        <w:gridCol w:w="1499"/>
      </w:tblGrid>
      <w:tr>
        <w:trPr/>
        <w:tc>
          <w:tcPr>
            <w:tcW w:w="1530"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528"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6003"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530"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28"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01"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500"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503"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99"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1134"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korisnika jednokratnih pomoći</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72</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70</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70</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70</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70</w:t>
            </w:r>
          </w:p>
        </w:tc>
      </w:tr>
      <w:tr>
        <w:trPr>
          <w:trHeight w:val="1134"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osoba kojima je sufinanciran prijevoz</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300</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300</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270</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270</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250</w:t>
            </w:r>
          </w:p>
        </w:tc>
      </w:tr>
    </w:tbl>
    <w:p>
      <w:pPr>
        <w:pStyle w:val="Normal"/>
        <w:bidi w:val="0"/>
        <w:spacing w:before="0" w:after="0"/>
        <w:jc w:val="center"/>
        <w:rPr>
          <w:rFonts w:ascii="Arial" w:hAnsi="Arial"/>
          <w:b/>
          <w:b/>
          <w:sz w:val="24"/>
        </w:rPr>
      </w:pPr>
      <w:r>
        <w:rPr>
          <w:rFonts w:ascii="Arial" w:hAnsi="Arial"/>
          <w:b/>
          <w:sz w:val="24"/>
        </w:rPr>
      </w:r>
    </w:p>
    <w:p>
      <w:pPr>
        <w:pStyle w:val="Normal"/>
        <w:shd w:val="clear" w:color="auto" w:fill="F2F2F2" w:themeFill="background1" w:themeFillShade="f2"/>
        <w:bidi w:val="0"/>
        <w:spacing w:before="0" w:after="0"/>
        <w:jc w:val="both"/>
        <w:rPr>
          <w:rFonts w:ascii="Arial" w:hAnsi="Arial"/>
          <w:b/>
          <w:b/>
          <w:sz w:val="24"/>
        </w:rPr>
      </w:pPr>
      <w:r>
        <w:rPr>
          <w:rFonts w:ascii="Arial" w:hAnsi="Arial"/>
          <w:b/>
          <w:sz w:val="24"/>
        </w:rPr>
        <w:t>Mjera 4. Pružanje pomoći i skrbi starijim i nemoćnim osobama u lokalnoj zajednici</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bCs/>
          <w:sz w:val="24"/>
        </w:rPr>
      </w:pPr>
      <w:r>
        <w:rPr>
          <w:rFonts w:ascii="Arial" w:hAnsi="Arial"/>
          <w:bCs/>
          <w:sz w:val="24"/>
        </w:rPr>
        <w:t>Mjera je usmjerena na unapređenje kvalitete života starijih i nemoćnih osoba kroz organizirano pružanje socijalnih i svakodnevnih usluga u njihovim kućanstvima. U okviru mjere planira se organizacija pomoći u kući, dostava namirnica i lijekova, pomoć u obavljanju kućanskih poslova, pratnja liječniku te podrška u socijalnoj integraciji korisnika.</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bCs/>
          <w:sz w:val="24"/>
        </w:rPr>
      </w:pPr>
      <w:r>
        <w:rPr>
          <w:rFonts w:ascii="Arial" w:hAnsi="Arial"/>
          <w:bCs/>
          <w:sz w:val="24"/>
        </w:rPr>
        <w:t>Projekt  Zaželi – Negoslavci  faza IV u skladu je s europskim i nacionalnim preporukama o unapređenju položaja žena na tržištu rada i zaštite prava žena. U skladu je i sa smjernicama politika zapošljavanja država članica EU s naglaskom na promicanje socijalne uključenosti i suzbijanja siromaštva, pogotovo uzevši u obzir da će se kao sudionice ovih aktivnosti uključivati žene koje su u nepovoljnom položaju na tržištu rada, a koje će skrbiti o starijim osobama i osobama u nepovoljnom položaju.</w:t>
      </w:r>
    </w:p>
    <w:p>
      <w:pPr>
        <w:pStyle w:val="Normal"/>
        <w:bidi w:val="0"/>
        <w:spacing w:before="0" w:after="0"/>
        <w:jc w:val="left"/>
        <w:rPr>
          <w:rFonts w:ascii="Arial" w:hAnsi="Arial"/>
          <w:b/>
          <w:b/>
          <w:sz w:val="24"/>
        </w:rPr>
      </w:pPr>
      <w:r>
        <w:rPr>
          <w:rFonts w:ascii="Arial" w:hAnsi="Arial"/>
          <w:b/>
          <w:sz w:val="24"/>
        </w:rPr>
      </w:r>
    </w:p>
    <w:p>
      <w:pPr>
        <w:pStyle w:val="Normal"/>
        <w:bidi w:val="0"/>
        <w:spacing w:before="0" w:after="0"/>
        <w:jc w:val="both"/>
        <w:rPr>
          <w:rFonts w:ascii="Arial" w:hAnsi="Arial"/>
          <w:bCs/>
          <w:sz w:val="24"/>
        </w:rPr>
      </w:pPr>
      <w:r>
        <w:rPr>
          <w:rFonts w:ascii="Arial" w:hAnsi="Arial"/>
          <w:bCs/>
          <w:sz w:val="24"/>
        </w:rPr>
        <w:t>Svrha ove mjere je omogućiti starijim i nemoćnim osobama da što dulje ostanu u vlastitim domovima uz odgovarajuću skrb, čime se pridonosi očuvanju njihovog dostojanstva, neovisnosti i socijalne uključenosti. Također, ova mjera ima za cilj smanjiti institucionalizaciju, osnažiti međugeneracijsku solidarnost te pružiti zapošljavanje osobama iz lokalne zajednice kroz programe socijalnih usluga.</w:t>
      </w:r>
    </w:p>
    <w:p>
      <w:pPr>
        <w:pStyle w:val="Normal"/>
        <w:bidi w:val="0"/>
        <w:spacing w:before="0" w:after="0"/>
        <w:jc w:val="left"/>
        <w:rPr>
          <w:rFonts w:ascii="Arial" w:hAnsi="Arial"/>
          <w:b/>
          <w:b/>
          <w:sz w:val="24"/>
        </w:rPr>
      </w:pPr>
      <w:r>
        <w:rPr>
          <w:rFonts w:ascii="Arial" w:hAnsi="Arial"/>
          <w:b/>
          <w:sz w:val="24"/>
        </w:rPr>
      </w:r>
    </w:p>
    <w:p>
      <w:pPr>
        <w:pStyle w:val="Normal"/>
        <w:bidi w:val="0"/>
        <w:spacing w:lineRule="auto" w:line="276" w:before="0" w:after="0"/>
        <w:jc w:val="both"/>
        <w:rPr>
          <w:rFonts w:ascii="Arial" w:hAnsi="Arial"/>
          <w:b/>
          <w:b/>
          <w:sz w:val="24"/>
        </w:rPr>
      </w:pPr>
      <w:bookmarkStart w:id="23" w:name="_Hlk199846139"/>
      <w:r>
        <w:rPr>
          <w:rFonts w:ascii="Arial" w:hAnsi="Arial"/>
          <w:b/>
          <w:sz w:val="24"/>
        </w:rPr>
        <w:t>Procijenjeni trošak provedbe mjere: 1.027.500,00 €</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1011 Program "Zaželi"</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A1011 01</w:t>
      </w:r>
      <w:r>
        <w:rPr/>
        <w:t xml:space="preserve"> </w:t>
      </w:r>
      <w:r>
        <w:rPr>
          <w:rFonts w:cs="Arial" w:ascii="Arial" w:hAnsi="Arial"/>
          <w:color w:val="000000" w:themeColor="text1"/>
          <w:sz w:val="24"/>
          <w:szCs w:val="24"/>
        </w:rPr>
        <w:t>Administrativno, tehničko i stručno osoblje</w:t>
      </w:r>
      <w:bookmarkEnd w:id="23"/>
    </w:p>
    <w:p>
      <w:pPr>
        <w:pStyle w:val="Normal"/>
        <w:bidi w:val="0"/>
        <w:spacing w:lineRule="auto" w:line="276" w:before="0" w:after="0"/>
        <w:jc w:val="both"/>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134"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Organizacija usluge pomoći u kući za starije i nemoćne osobe</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2027.</w:t>
            </w:r>
          </w:p>
        </w:tc>
        <w:tc>
          <w:tcPr>
            <w:tcW w:w="2700"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bookmarkStart w:id="24" w:name="_Hlk199846618"/>
            <w:r>
              <w:rPr>
                <w:rFonts w:eastAsia="Arial" w:cs="Arial" w:ascii="Arial" w:hAnsi="Arial"/>
                <w:color w:val="000000" w:themeColor="text1"/>
                <w:sz w:val="20"/>
                <w:szCs w:val="20"/>
                <w:lang w:val="hr-HR" w:eastAsia="en-US" w:bidi="ar-SA"/>
              </w:rPr>
              <w:t>prosinac 2029.</w:t>
            </w:r>
            <w:bookmarkEnd w:id="24"/>
          </w:p>
        </w:tc>
      </w:tr>
    </w:tbl>
    <w:p>
      <w:pPr>
        <w:pStyle w:val="Normal"/>
        <w:bidi w:val="0"/>
        <w:spacing w:before="0" w:after="0"/>
        <w:jc w:val="center"/>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30"/>
        <w:gridCol w:w="1528"/>
        <w:gridCol w:w="1501"/>
        <w:gridCol w:w="1500"/>
        <w:gridCol w:w="1503"/>
        <w:gridCol w:w="1499"/>
      </w:tblGrid>
      <w:tr>
        <w:trPr/>
        <w:tc>
          <w:tcPr>
            <w:tcW w:w="1530"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528"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6003"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530"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28"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01"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500"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503"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99"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1761"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starijih i nemoćnih korisnika uključenih u programe pomoći u kući godišnje</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114</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114</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114</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114</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114</w:t>
            </w:r>
          </w:p>
        </w:tc>
      </w:tr>
      <w:tr>
        <w:trPr>
          <w:trHeight w:val="1474"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zaposlenih osoba koje pružaju skrb kroz općinske projekte</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19</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19</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19</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19</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19</w:t>
            </w:r>
          </w:p>
        </w:tc>
      </w:tr>
    </w:tbl>
    <w:p>
      <w:pPr>
        <w:pStyle w:val="Normal"/>
        <w:bidi w:val="0"/>
        <w:spacing w:before="0" w:after="0"/>
        <w:jc w:val="left"/>
        <w:rPr>
          <w:rFonts w:ascii="Arial" w:hAnsi="Arial"/>
          <w:b/>
          <w:b/>
          <w:sz w:val="24"/>
        </w:rPr>
      </w:pPr>
      <w:r>
        <w:rPr>
          <w:rFonts w:ascii="Arial" w:hAnsi="Arial"/>
          <w:b/>
          <w:sz w:val="24"/>
        </w:rPr>
      </w:r>
    </w:p>
    <w:p>
      <w:pPr>
        <w:pStyle w:val="Normal"/>
        <w:shd w:val="clear" w:color="auto" w:fill="F2F2F2" w:themeFill="background1" w:themeFillShade="f2"/>
        <w:bidi w:val="0"/>
        <w:spacing w:before="0" w:after="0"/>
        <w:jc w:val="both"/>
        <w:rPr>
          <w:rFonts w:ascii="Arial" w:hAnsi="Arial"/>
          <w:b/>
          <w:b/>
          <w:sz w:val="24"/>
        </w:rPr>
      </w:pPr>
      <w:bookmarkStart w:id="25" w:name="_Hlk199847341"/>
      <w:r>
        <w:rPr>
          <w:rFonts w:ascii="Arial" w:hAnsi="Arial"/>
          <w:b/>
          <w:sz w:val="24"/>
        </w:rPr>
        <w:t>Mjera 5. Razvoj i potpora sportskim aktivnostima u zajednici</w:t>
      </w:r>
      <w:bookmarkEnd w:id="25"/>
    </w:p>
    <w:p>
      <w:pPr>
        <w:pStyle w:val="Normal"/>
        <w:bidi w:val="0"/>
        <w:spacing w:before="0" w:after="0"/>
        <w:jc w:val="left"/>
        <w:rPr>
          <w:rFonts w:ascii="Arial" w:hAnsi="Arial"/>
          <w:b/>
          <w:b/>
          <w:sz w:val="24"/>
        </w:rPr>
      </w:pPr>
      <w:r>
        <w:rPr>
          <w:rFonts w:ascii="Arial" w:hAnsi="Arial"/>
          <w:b/>
          <w:sz w:val="24"/>
        </w:rPr>
      </w:r>
    </w:p>
    <w:p>
      <w:pPr>
        <w:pStyle w:val="Normal"/>
        <w:bidi w:val="0"/>
        <w:spacing w:lineRule="auto" w:line="276" w:before="0" w:after="0"/>
        <w:jc w:val="both"/>
        <w:rPr>
          <w:rFonts w:ascii="Arial" w:hAnsi="Arial"/>
          <w:bCs/>
          <w:sz w:val="24"/>
        </w:rPr>
      </w:pPr>
      <w:r>
        <w:rPr>
          <w:rFonts w:ascii="Arial" w:hAnsi="Arial"/>
          <w:bCs/>
          <w:sz w:val="24"/>
        </w:rPr>
        <w:t>Ova mjera ima za cilj jačati tjelesnu aktivnost, zdravlje i društvenu povezanost stanovnika svih dobnih skupina kroz ulaganja u sportsku infrastrukturu i potporu lokalnim sportskim klubovima, rekreativnim udrugama i događanjima.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Programom javnih potreba u sportu utvrđuju se aktivnosti i djelatnosti u području sporta od značaja za Općinu Negoslavci, a za koje se sredstva osiguravaju u proračunu Općine Negoslavci. Svrha Programa je provođenje sportske i zdravstvene kulture te stvaranje uvjeta za uključivanje što većeg broja djece i mladih u organizirane oblike sportskih aktivnosti, kao i poticanje rekreacije i ostalih aktivnosti za očuvanje zdravlja i postizanje boljih psihofizičkih sposobnosti mještana.</w:t>
      </w:r>
    </w:p>
    <w:p>
      <w:pPr>
        <w:pStyle w:val="Normal"/>
        <w:bidi w:val="0"/>
        <w:spacing w:before="0" w:after="0"/>
        <w:jc w:val="left"/>
        <w:rPr>
          <w:rFonts w:ascii="Arial" w:hAnsi="Arial"/>
          <w:b/>
          <w:b/>
          <w:sz w:val="24"/>
        </w:rPr>
      </w:pPr>
      <w:r>
        <w:rPr>
          <w:rFonts w:ascii="Arial" w:hAnsi="Arial"/>
          <w:b/>
          <w:sz w:val="24"/>
        </w:rPr>
      </w:r>
    </w:p>
    <w:p>
      <w:pPr>
        <w:pStyle w:val="Normal"/>
        <w:bidi w:val="0"/>
        <w:spacing w:lineRule="auto" w:line="276" w:before="0" w:after="0"/>
        <w:jc w:val="both"/>
        <w:rPr>
          <w:rFonts w:ascii="Arial" w:hAnsi="Arial"/>
          <w:bCs/>
          <w:sz w:val="24"/>
        </w:rPr>
      </w:pPr>
      <w:r>
        <w:rPr>
          <w:rFonts w:ascii="Arial" w:hAnsi="Arial"/>
          <w:bCs/>
          <w:sz w:val="24"/>
        </w:rPr>
        <w:t>Javne potrebe u sportu od značenja za Općinu Negoslavci, u svrhu promicanja sportskih vrijednosti ostvaruju se djelovanjem sportskih udruga, sufinanciranjem sportskih aktivnosti djece, mladeži i studenata, organizacijom i provođenjem sportskih manifestacija na nivou Općine Negoslavci, ulaganjem u sportsku opreme i objekte.</w:t>
      </w:r>
    </w:p>
    <w:p>
      <w:pPr>
        <w:pStyle w:val="Normal"/>
        <w:bidi w:val="0"/>
        <w:spacing w:before="0" w:after="0"/>
        <w:jc w:val="left"/>
        <w:rPr>
          <w:rFonts w:ascii="Arial" w:hAnsi="Arial"/>
          <w:bCs/>
          <w:sz w:val="24"/>
        </w:rPr>
      </w:pPr>
      <w:r>
        <w:rPr>
          <w:rFonts w:ascii="Arial" w:hAnsi="Arial"/>
          <w:bCs/>
          <w:sz w:val="24"/>
        </w:rPr>
      </w:r>
    </w:p>
    <w:p>
      <w:pPr>
        <w:pStyle w:val="Normal"/>
        <w:bidi w:val="0"/>
        <w:spacing w:before="0" w:after="0"/>
        <w:jc w:val="both"/>
        <w:rPr>
          <w:rFonts w:ascii="Arial" w:hAnsi="Arial"/>
          <w:bCs/>
          <w:sz w:val="24"/>
        </w:rPr>
      </w:pPr>
      <w:r>
        <w:rPr>
          <w:rFonts w:ascii="Arial" w:hAnsi="Arial"/>
          <w:bCs/>
          <w:sz w:val="24"/>
        </w:rPr>
        <w:t>Svrha provedbe mjere je povećati razinu fizičke aktivnosti, unaprijediti zdravlje građana i omogućiti mladima i djeci dostupnost organiziranog sporta te stvoriti uvjete za aktivan društveni život kroz sport.</w:t>
      </w:r>
    </w:p>
    <w:p>
      <w:pPr>
        <w:pStyle w:val="Normal"/>
        <w:bidi w:val="0"/>
        <w:spacing w:before="0" w:after="0"/>
        <w:jc w:val="left"/>
        <w:rPr>
          <w:rFonts w:ascii="Arial" w:hAnsi="Arial"/>
          <w:b/>
          <w:b/>
          <w:sz w:val="24"/>
        </w:rPr>
      </w:pPr>
      <w:r>
        <w:rPr>
          <w:rFonts w:ascii="Arial" w:hAnsi="Arial"/>
          <w:b/>
          <w:sz w:val="24"/>
        </w:rPr>
      </w:r>
    </w:p>
    <w:p>
      <w:pPr>
        <w:pStyle w:val="Normal"/>
        <w:bidi w:val="0"/>
        <w:spacing w:lineRule="auto" w:line="276" w:before="0" w:after="0"/>
        <w:jc w:val="both"/>
        <w:rPr>
          <w:rFonts w:ascii="Arial" w:hAnsi="Arial"/>
          <w:b/>
          <w:b/>
          <w:sz w:val="24"/>
        </w:rPr>
      </w:pPr>
      <w:bookmarkStart w:id="26" w:name="_Hlk199847804"/>
      <w:r>
        <w:rPr>
          <w:rFonts w:ascii="Arial" w:hAnsi="Arial"/>
          <w:b/>
          <w:sz w:val="24"/>
        </w:rPr>
        <w:t>Procijenjeni trošak provedbe mjere: 395.000,00 €</w:t>
      </w:r>
    </w:p>
    <w:p>
      <w:pPr>
        <w:pStyle w:val="Normal"/>
        <w:bidi w:val="0"/>
        <w:spacing w:lineRule="auto" w:line="276" w:before="0" w:after="0"/>
        <w:jc w:val="both"/>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bidi w:val="0"/>
        <w:spacing w:lineRule="auto" w:line="276"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1009 Javne potrebe u športu</w:t>
      </w:r>
    </w:p>
    <w:p>
      <w:pPr>
        <w:pStyle w:val="ListParagraph"/>
        <w:numPr>
          <w:ilvl w:val="0"/>
          <w:numId w:val="11"/>
        </w:numPr>
        <w:bidi w:val="0"/>
        <w:spacing w:lineRule="auto" w:line="276" w:before="0" w:after="0"/>
        <w:contextualSpacing/>
        <w:jc w:val="both"/>
        <w:rPr>
          <w:rFonts w:ascii="Arial" w:hAnsi="Arial"/>
          <w:b/>
          <w:b/>
          <w:sz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A1009 01</w:t>
      </w:r>
      <w:r>
        <w:rPr/>
        <w:t xml:space="preserve"> </w:t>
      </w:r>
      <w:r>
        <w:rPr>
          <w:rFonts w:cs="Arial" w:ascii="Arial" w:hAnsi="Arial"/>
          <w:color w:val="000000" w:themeColor="text1"/>
          <w:sz w:val="24"/>
          <w:szCs w:val="24"/>
        </w:rPr>
        <w:t>Tekuće donacije sportskim udrugama</w:t>
      </w:r>
      <w:bookmarkEnd w:id="26"/>
    </w:p>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417"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Redovita financijska i organizacijska podrška sportskim organizacijama koje djeluju na području Općine Negoslavci</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tekuće godine</w:t>
            </w:r>
          </w:p>
        </w:tc>
        <w:tc>
          <w:tcPr>
            <w:tcW w:w="2700" w:type="dxa"/>
            <w:vMerge w:val="restart"/>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2029.</w:t>
            </w:r>
          </w:p>
        </w:tc>
      </w:tr>
      <w:tr>
        <w:trPr>
          <w:trHeight w:val="1417"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Izgradnja, investicijsko održavanje, adaptacije i ostali zahvati na objektima sportske namjene na području Općine Negoslavci</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tekuće godine</w:t>
            </w:r>
          </w:p>
        </w:tc>
        <w:tc>
          <w:tcPr>
            <w:tcW w:w="2700" w:type="dxa"/>
            <w:vMerge w:val="continue"/>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rPr>
            </w:r>
          </w:p>
        </w:tc>
      </w:tr>
    </w:tbl>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30"/>
        <w:gridCol w:w="1528"/>
        <w:gridCol w:w="1501"/>
        <w:gridCol w:w="1500"/>
        <w:gridCol w:w="1503"/>
        <w:gridCol w:w="1499"/>
      </w:tblGrid>
      <w:tr>
        <w:trPr/>
        <w:tc>
          <w:tcPr>
            <w:tcW w:w="1530"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528"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6003"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530"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28"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01"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500"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503"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99"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1247"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sufinanciranih sportskih udruga</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5</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5</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5</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5</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5</w:t>
            </w:r>
          </w:p>
        </w:tc>
      </w:tr>
      <w:tr>
        <w:trPr>
          <w:trHeight w:val="1699"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obnovljenih, adaptiranih ili izgrađenih sportskih objekata godišnje na području Općine Negoslavci</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2</w:t>
            </w:r>
          </w:p>
        </w:tc>
      </w:tr>
    </w:tbl>
    <w:p>
      <w:pPr>
        <w:pStyle w:val="Normal"/>
        <w:bidi w:val="0"/>
        <w:spacing w:lineRule="auto" w:line="276" w:before="0" w:after="0"/>
        <w:jc w:val="both"/>
        <w:rPr>
          <w:rFonts w:ascii="Arial" w:hAnsi="Arial"/>
          <w:bCs/>
          <w:sz w:val="24"/>
        </w:rPr>
      </w:pPr>
      <w:r>
        <w:rPr>
          <w:rFonts w:ascii="Arial" w:hAnsi="Arial"/>
          <w:bCs/>
          <w:sz w:val="24"/>
        </w:rPr>
      </w:r>
    </w:p>
    <w:p>
      <w:pPr>
        <w:pStyle w:val="Normal"/>
        <w:shd w:val="clear" w:color="auto" w:fill="F2F2F2" w:themeFill="background1" w:themeFillShade="f2"/>
        <w:bidi w:val="0"/>
        <w:spacing w:before="0" w:after="0"/>
        <w:jc w:val="both"/>
        <w:rPr>
          <w:rFonts w:ascii="Arial" w:hAnsi="Arial"/>
          <w:b/>
          <w:b/>
          <w:sz w:val="24"/>
        </w:rPr>
      </w:pPr>
      <w:bookmarkStart w:id="27" w:name="_Hlk199923900"/>
      <w:r>
        <w:rPr>
          <w:rFonts w:ascii="Arial" w:hAnsi="Arial"/>
          <w:b/>
          <w:sz w:val="24"/>
        </w:rPr>
        <w:t>Mjera 6. Jačanje kulturnih sadržaja i identiteta lokalne zajednice</w:t>
      </w:r>
      <w:bookmarkEnd w:id="27"/>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Mjera je usmjerena na očuvanje kulturne baštine, poticanje lokalne kreativnosti i zajedništva kroz podršku kulturnim udrugama, manifestacijama, te kulturno-obrazovnim programima za sve dobne skupine.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Programom javnih potreba u kulturi Općine Negoslavci, utvrđuju se djelatnosti, odnosno programi, projekti, aktivnosti i manifestacije u kulturi, koje će se financirati iz proračuna Općine Negoslavci.</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Javne potrebe u kulturi od značaja za Općinu Negoslavci, u svrhu poticanja kulturnih vrijednosti ostvarivati će se kroz:</w:t>
      </w:r>
    </w:p>
    <w:p>
      <w:pPr>
        <w:pStyle w:val="ListParagraph"/>
        <w:numPr>
          <w:ilvl w:val="0"/>
          <w:numId w:val="12"/>
        </w:numPr>
        <w:bidi w:val="0"/>
        <w:spacing w:lineRule="auto" w:line="276" w:before="0" w:after="0"/>
        <w:contextualSpacing/>
        <w:jc w:val="both"/>
        <w:rPr>
          <w:rFonts w:ascii="Arial" w:hAnsi="Arial"/>
          <w:bCs/>
          <w:sz w:val="24"/>
        </w:rPr>
      </w:pPr>
      <w:r>
        <w:rPr>
          <w:rFonts w:ascii="Arial" w:hAnsi="Arial"/>
          <w:bCs/>
          <w:sz w:val="24"/>
        </w:rPr>
        <w:t>djelatnosti i poslove udruga u kulturi, kao pomaganje i poticanje umjetničkog i kulturnog stvaralaštva kroz plesno-scensku i druge vidove izražavanja umjetničkog amaterizma,</w:t>
      </w:r>
    </w:p>
    <w:p>
      <w:pPr>
        <w:pStyle w:val="ListParagraph"/>
        <w:numPr>
          <w:ilvl w:val="0"/>
          <w:numId w:val="12"/>
        </w:numPr>
        <w:bidi w:val="0"/>
        <w:spacing w:lineRule="auto" w:line="276" w:before="0" w:after="0"/>
        <w:contextualSpacing/>
        <w:jc w:val="both"/>
        <w:rPr>
          <w:rFonts w:ascii="Arial" w:hAnsi="Arial"/>
          <w:bCs/>
          <w:sz w:val="24"/>
        </w:rPr>
      </w:pPr>
      <w:r>
        <w:rPr>
          <w:rFonts w:ascii="Arial" w:hAnsi="Arial"/>
          <w:bCs/>
          <w:sz w:val="24"/>
        </w:rPr>
        <w:t>aktivnosti i manifestacije u kulturi koje pridonose razvitku i promicanju kulturnog života i amaterizma u kulturi, te očuvanju i njegovanju običaja i tradicije.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Svrha provedbe mjere je unaprijediti kulturni život u zajednici, očuvati lokalne običaje i identitet, te uključiti građane u raznolike kulturne sadržaje radi jačanja društvene kohezije i međugeneracijskog povezivanja.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
          <w:b/>
          <w:sz w:val="24"/>
        </w:rPr>
      </w:pPr>
      <w:r>
        <w:rPr>
          <w:rFonts w:ascii="Arial" w:hAnsi="Arial"/>
          <w:b/>
          <w:sz w:val="24"/>
        </w:rPr>
        <w:t>Procijenjeni trošak provedbe mjere: 329.265,00 €</w:t>
      </w:r>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1008 Program javnih potreba u kulturi</w:t>
      </w:r>
    </w:p>
    <w:p>
      <w:pPr>
        <w:pStyle w:val="ListParagraph"/>
        <w:numPr>
          <w:ilvl w:val="0"/>
          <w:numId w:val="11"/>
        </w:numPr>
        <w:bidi w:val="0"/>
        <w:spacing w:lineRule="auto" w:line="276" w:before="0" w:after="0"/>
        <w:contextualSpacing/>
        <w:jc w:val="both"/>
        <w:rPr>
          <w:rFonts w:ascii="Arial" w:hAnsi="Arial"/>
          <w:b/>
          <w:b/>
          <w:sz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A1008 01</w:t>
      </w:r>
      <w:r>
        <w:rPr/>
        <w:t xml:space="preserve"> </w:t>
      </w:r>
      <w:r>
        <w:rPr>
          <w:rFonts w:cs="Arial" w:ascii="Arial" w:hAnsi="Arial"/>
          <w:color w:val="000000" w:themeColor="text1"/>
          <w:sz w:val="24"/>
          <w:szCs w:val="24"/>
        </w:rPr>
        <w:t>Vjerske zajednice - pomoć u radu</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A1008 02 Djelatnost kulturno-umjetničkih društava</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A1008 03</w:t>
      </w:r>
      <w:r>
        <w:rPr/>
        <w:t xml:space="preserve"> </w:t>
      </w:r>
      <w:r>
        <w:rPr>
          <w:rFonts w:cs="Arial" w:ascii="Arial" w:hAnsi="Arial"/>
          <w:color w:val="000000" w:themeColor="text1"/>
          <w:sz w:val="24"/>
          <w:szCs w:val="24"/>
        </w:rPr>
        <w:t>Kulturne manifestacije</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A1008 04</w:t>
      </w:r>
      <w:r>
        <w:rPr/>
        <w:t xml:space="preserve"> </w:t>
      </w:r>
      <w:r>
        <w:rPr>
          <w:rFonts w:cs="Arial" w:ascii="Arial" w:hAnsi="Arial"/>
          <w:color w:val="000000" w:themeColor="text1"/>
          <w:sz w:val="24"/>
          <w:szCs w:val="24"/>
        </w:rPr>
        <w:t>Zajedničko vijeće općina</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A1008 05 Udruge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644"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Potpora djelatnostima i poslovima udruga u kulturi, kao pomaganje i poticanje umjetničkog i kulturnog stvaralaštva kroz plesno-scensku i druge vidove izražavanja umjetničkog amaterizma</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tekuće godine</w:t>
            </w:r>
          </w:p>
        </w:tc>
        <w:tc>
          <w:tcPr>
            <w:tcW w:w="2700" w:type="dxa"/>
            <w:vMerge w:val="restart"/>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2029.</w:t>
            </w:r>
          </w:p>
        </w:tc>
      </w:tr>
      <w:tr>
        <w:trPr>
          <w:trHeight w:val="1644"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Potpora aktivnostima i manifestacijama u kulturi koje pridonose razvitku i promicanju kulturnog života i amaterizma u kulturi, te očuvanju i njegovanju običaja i tradicije.</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tekuće godine</w:t>
            </w:r>
          </w:p>
        </w:tc>
        <w:tc>
          <w:tcPr>
            <w:tcW w:w="2700" w:type="dxa"/>
            <w:vMerge w:val="continue"/>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rPr>
            </w:r>
          </w:p>
        </w:tc>
      </w:tr>
    </w:tbl>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30"/>
        <w:gridCol w:w="1528"/>
        <w:gridCol w:w="1501"/>
        <w:gridCol w:w="1500"/>
        <w:gridCol w:w="1503"/>
        <w:gridCol w:w="1499"/>
      </w:tblGrid>
      <w:tr>
        <w:trPr/>
        <w:tc>
          <w:tcPr>
            <w:tcW w:w="1530"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528"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6003"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530"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28"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01"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500"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503"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99"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1417"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sufinanciranih udruga iz područja kulture</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r>
      <w:tr>
        <w:trPr>
          <w:trHeight w:val="58"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održanih kulturnih manifestacija i programa godišnje</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5</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6</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6</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6</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6</w:t>
            </w:r>
          </w:p>
        </w:tc>
      </w:tr>
    </w:tbl>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p>
      <w:pPr>
        <w:pStyle w:val="Normal"/>
        <w:shd w:val="clear" w:color="auto" w:fill="F2F2F2" w:themeFill="background1" w:themeFillShade="f2"/>
        <w:bidi w:val="0"/>
        <w:spacing w:before="0" w:after="0"/>
        <w:jc w:val="both"/>
        <w:rPr>
          <w:rFonts w:ascii="Arial" w:hAnsi="Arial"/>
          <w:b/>
          <w:b/>
          <w:sz w:val="24"/>
        </w:rPr>
      </w:pPr>
      <w:r>
        <w:rPr>
          <w:rFonts w:ascii="Arial" w:hAnsi="Arial"/>
          <w:b/>
          <w:sz w:val="24"/>
        </w:rPr>
        <w:t>Mjera 7. Održavanje i unaprjeđenje postojeće komunalne infrastrukture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Ova mjera obuhvaća redovito, sezonsko i interventno održavanje postojećih komunalnih objekata, sustava i javnih površina radi očuvanja funkcionalnosti, sigurnosti i kvalitete života. Uključuje i manje zahvate unaprjeđenja kako bi se infrastruktura prilagodila promjenjivim potrebama stanovnika.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 xml:space="preserve">Programom održavanja komunalne infrastrukture za svaku pojedinu godinu određuje se održavanje komunalne infrastrukture na području Općine Negoslavci, financijska sredstva potrebna za ostvarivanje Programa i izvori financiranja po djelatnostima.  </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Svrha provedbe mjere je</w:t>
      </w:r>
      <w:r>
        <w:rPr/>
        <w:t xml:space="preserve"> </w:t>
      </w:r>
      <w:r>
        <w:rPr>
          <w:rFonts w:ascii="Arial" w:hAnsi="Arial"/>
          <w:bCs/>
          <w:sz w:val="24"/>
        </w:rPr>
        <w:t>osigurati trajnu funkcionalnost komunalnih sustava i javnih prostora, prevenirati njihovo propadanje te očuvati ulaganja koja su prethodno realizirana. Time se poboljšava sigurnost, vizualni identitet naselja i svakodnevna kvaliteta života stanovnika.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
          <w:b/>
          <w:sz w:val="24"/>
        </w:rPr>
      </w:pPr>
      <w:r>
        <w:rPr>
          <w:rFonts w:ascii="Arial" w:hAnsi="Arial"/>
          <w:b/>
          <w:sz w:val="24"/>
        </w:rPr>
        <w:t>Procijenjeni trošak provedbe mjere: 1.884.000,00 €</w:t>
      </w:r>
    </w:p>
    <w:p>
      <w:pPr>
        <w:pStyle w:val="Normal"/>
        <w:bidi w:val="0"/>
        <w:spacing w:lineRule="auto" w:line="276" w:before="0" w:after="0"/>
        <w:jc w:val="both"/>
        <w:rPr>
          <w:rFonts w:ascii="Arial" w:hAnsi="Arial"/>
          <w:b/>
          <w:b/>
          <w:sz w:val="24"/>
          <w:highlight w:val="yellow"/>
        </w:rPr>
      </w:pPr>
      <w:r>
        <w:rPr>
          <w:rFonts w:ascii="Arial" w:hAnsi="Arial"/>
          <w:b/>
          <w:sz w:val="24"/>
          <w:highlight w:val="yellow"/>
        </w:rPr>
      </w:r>
    </w:p>
    <w:p>
      <w:pPr>
        <w:pStyle w:val="Normal"/>
        <w:bidi w:val="0"/>
        <w:spacing w:lineRule="auto" w:line="276"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1005 Održavanje objekata i uređaja komunalne infrastrukture</w:t>
      </w:r>
    </w:p>
    <w:p>
      <w:pPr>
        <w:pStyle w:val="ListParagraph"/>
        <w:numPr>
          <w:ilvl w:val="0"/>
          <w:numId w:val="11"/>
        </w:numPr>
        <w:bidi w:val="0"/>
        <w:spacing w:lineRule="auto" w:line="276" w:before="0" w:after="0"/>
        <w:contextualSpacing/>
        <w:jc w:val="both"/>
        <w:rPr>
          <w:rFonts w:ascii="Arial" w:hAnsi="Arial"/>
          <w:b/>
          <w:b/>
          <w:sz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K1005 01 Održavanje komunalne infrastrukture</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K1005 02 Obnova centra općine</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A1005 01</w:t>
      </w:r>
      <w:r>
        <w:rPr/>
        <w:t xml:space="preserve"> </w:t>
      </w:r>
      <w:r>
        <w:rPr>
          <w:rFonts w:cs="Arial" w:ascii="Arial" w:hAnsi="Arial"/>
          <w:color w:val="000000" w:themeColor="text1"/>
          <w:sz w:val="24"/>
          <w:szCs w:val="24"/>
        </w:rPr>
        <w:t>Materijal i dijelovi za održavanje javne rasvjete</w:t>
      </w:r>
    </w:p>
    <w:p>
      <w:pPr>
        <w:pStyle w:val="ListParagraph"/>
        <w:bidi w:val="0"/>
        <w:spacing w:lineRule="auto" w:line="276" w:before="0" w:after="0"/>
        <w:contextualSpacing/>
        <w:jc w:val="both"/>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304"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Provedba planiranih aktivnosti iz Programa održavanja komunalne infrastrukture</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tekuće godine</w:t>
            </w:r>
          </w:p>
        </w:tc>
        <w:tc>
          <w:tcPr>
            <w:tcW w:w="2700"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2029.</w:t>
            </w:r>
          </w:p>
        </w:tc>
      </w:tr>
    </w:tbl>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30"/>
        <w:gridCol w:w="1528"/>
        <w:gridCol w:w="1501"/>
        <w:gridCol w:w="1500"/>
        <w:gridCol w:w="1503"/>
        <w:gridCol w:w="1499"/>
      </w:tblGrid>
      <w:tr>
        <w:trPr/>
        <w:tc>
          <w:tcPr>
            <w:tcW w:w="1530"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528"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6003"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530"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28"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01"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500"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503"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99"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1761"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izvršenih interventnih zahvata ili sanacija godišnje</w:t>
            </w:r>
          </w:p>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(sanacije udarnih rupa, popravci rasvjete i sl.)</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6</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8</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8</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8</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8</w:t>
            </w:r>
          </w:p>
        </w:tc>
      </w:tr>
    </w:tbl>
    <w:p>
      <w:pPr>
        <w:pStyle w:val="Normal"/>
        <w:bidi w:val="0"/>
        <w:spacing w:lineRule="auto" w:line="276" w:before="0" w:after="0"/>
        <w:jc w:val="both"/>
        <w:rPr>
          <w:rFonts w:ascii="Arial" w:hAnsi="Arial"/>
          <w:bCs/>
          <w:sz w:val="24"/>
        </w:rPr>
      </w:pPr>
      <w:r>
        <w:rPr>
          <w:rFonts w:ascii="Arial" w:hAnsi="Arial"/>
          <w:bCs/>
          <w:sz w:val="24"/>
        </w:rPr>
      </w:r>
    </w:p>
    <w:p>
      <w:pPr>
        <w:pStyle w:val="Normal"/>
        <w:shd w:val="clear" w:color="auto" w:fill="F2F2F2" w:themeFill="background1" w:themeFillShade="f2"/>
        <w:bidi w:val="0"/>
        <w:spacing w:before="0" w:after="0"/>
        <w:jc w:val="both"/>
        <w:rPr>
          <w:rFonts w:ascii="Arial" w:hAnsi="Arial"/>
          <w:bCs/>
          <w:sz w:val="24"/>
        </w:rPr>
      </w:pPr>
      <w:bookmarkStart w:id="28" w:name="_Hlk199927219"/>
      <w:r>
        <w:rPr>
          <w:rFonts w:ascii="Arial" w:hAnsi="Arial"/>
          <w:b/>
          <w:sz w:val="24"/>
        </w:rPr>
        <w:t>Mjera 8. Izgradnja komunalne infrastrukture za održivi prostorni razvoj naselja</w:t>
      </w:r>
      <w:bookmarkEnd w:id="28"/>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Mjera podrazumijeva planiranje i provedbu infrastrukturnih ulaganja koja su u skladu s principima energetske učinkovitosti, ekološke održivosti i pametnog upravljanja resursima. Fokus je na uvođenju zelenih i digitalno podržanih rješenja u izgradnju prometne, vodoopskrbne, rasvjetne i druge komunalne infrastrukture.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 xml:space="preserve">Programom građenja komunalne infrastrukture Općine Negoslavci za svaku pojedinu godinu određuje se opis poslova građenja komunalne infrastrukture, iskaz financijskih sredstava potrebnih za ostvarivanje programa i naznake izvora financiranja po djelatnostima.                    </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Svrha provedbe mjere je omogućiti ravnomjeran infrastrukturni razvoj svih naselja, stvoriti uvjete za ostanak i dolazak stanovništva te osigurati pristup osnovnim komunalnim uslugama na cijelom području Općine.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
          <w:b/>
          <w:sz w:val="24"/>
        </w:rPr>
      </w:pPr>
      <w:r>
        <w:rPr>
          <w:rFonts w:ascii="Arial" w:hAnsi="Arial"/>
          <w:b/>
          <w:sz w:val="24"/>
        </w:rPr>
        <w:t>Procijenjeni trošak provedbe mjere: 4.054.000,00 €</w:t>
      </w:r>
    </w:p>
    <w:p>
      <w:pPr>
        <w:pStyle w:val="Normal"/>
        <w:bidi w:val="0"/>
        <w:spacing w:lineRule="auto" w:line="276" w:before="0" w:after="0"/>
        <w:jc w:val="both"/>
        <w:rPr>
          <w:rFonts w:ascii="Arial" w:hAnsi="Arial"/>
          <w:b/>
          <w:b/>
          <w:sz w:val="24"/>
          <w:highlight w:val="yellow"/>
        </w:rPr>
      </w:pPr>
      <w:r>
        <w:rPr>
          <w:rFonts w:ascii="Arial" w:hAnsi="Arial"/>
          <w:b/>
          <w:sz w:val="24"/>
          <w:highlight w:val="yellow"/>
        </w:rPr>
      </w:r>
    </w:p>
    <w:p>
      <w:pPr>
        <w:pStyle w:val="Normal"/>
        <w:bidi w:val="0"/>
        <w:spacing w:lineRule="auto" w:line="276"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1006 Izgradnja objekata i uređaja Komunalne infrastrukture i opremanje</w:t>
      </w:r>
    </w:p>
    <w:p>
      <w:pPr>
        <w:pStyle w:val="ListParagraph"/>
        <w:numPr>
          <w:ilvl w:val="0"/>
          <w:numId w:val="11"/>
        </w:numPr>
        <w:bidi w:val="0"/>
        <w:spacing w:lineRule="auto" w:line="276" w:before="0" w:after="0"/>
        <w:contextualSpacing/>
        <w:jc w:val="both"/>
        <w:rPr>
          <w:rFonts w:ascii="Arial" w:hAnsi="Arial"/>
          <w:b/>
          <w:b/>
          <w:sz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K1006 01 Izgradnja plinovoda, vodovoda i kanalizacije</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K1006 02 Opremanje komunalnom opremom</w:t>
      </w:r>
    </w:p>
    <w:p>
      <w:pPr>
        <w:pStyle w:val="Normal"/>
        <w:bidi w:val="0"/>
        <w:spacing w:lineRule="auto" w:line="276" w:before="0" w:after="0"/>
        <w:jc w:val="both"/>
        <w:rPr>
          <w:rFonts w:ascii="Arial" w:hAnsi="Arial"/>
          <w:b/>
          <w:b/>
          <w:sz w:val="24"/>
        </w:rPr>
      </w:pPr>
      <w:r>
        <w:rPr>
          <w:rFonts w:ascii="Arial" w:hAnsi="Arial"/>
          <w:b/>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247"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Provedba planiranih aktivnosti iz Programa građenja komunalne infrastrukture</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tekuće godine</w:t>
            </w:r>
          </w:p>
        </w:tc>
        <w:tc>
          <w:tcPr>
            <w:tcW w:w="2700"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2029.</w:t>
            </w:r>
          </w:p>
        </w:tc>
      </w:tr>
    </w:tbl>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640"/>
        <w:gridCol w:w="1513"/>
        <w:gridCol w:w="1477"/>
        <w:gridCol w:w="1477"/>
        <w:gridCol w:w="1477"/>
        <w:gridCol w:w="1477"/>
      </w:tblGrid>
      <w:tr>
        <w:trPr/>
        <w:tc>
          <w:tcPr>
            <w:tcW w:w="1640"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513"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5908"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640"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13"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477"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477"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477"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77"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1495" w:hRule="atLeast"/>
        </w:trPr>
        <w:tc>
          <w:tcPr>
            <w:tcW w:w="164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Ukupna duljina novoizgrađene kanalizacijske mreže (u metrima)</w:t>
            </w:r>
          </w:p>
        </w:tc>
        <w:tc>
          <w:tcPr>
            <w:tcW w:w="151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3000</w:t>
            </w:r>
          </w:p>
        </w:tc>
        <w:tc>
          <w:tcPr>
            <w:tcW w:w="147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3000</w:t>
            </w:r>
          </w:p>
        </w:tc>
        <w:tc>
          <w:tcPr>
            <w:tcW w:w="147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3000</w:t>
            </w:r>
          </w:p>
        </w:tc>
        <w:tc>
          <w:tcPr>
            <w:tcW w:w="147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3000</w:t>
            </w:r>
          </w:p>
        </w:tc>
        <w:tc>
          <w:tcPr>
            <w:tcW w:w="147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3000</w:t>
            </w:r>
          </w:p>
        </w:tc>
      </w:tr>
    </w:tbl>
    <w:p>
      <w:pPr>
        <w:pStyle w:val="Normal"/>
        <w:bidi w:val="0"/>
        <w:spacing w:lineRule="auto" w:line="276" w:before="0" w:after="0"/>
        <w:jc w:val="both"/>
        <w:rPr>
          <w:rFonts w:ascii="Arial" w:hAnsi="Arial"/>
          <w:bCs/>
          <w:sz w:val="24"/>
        </w:rPr>
      </w:pPr>
      <w:r>
        <w:rPr>
          <w:rFonts w:ascii="Arial" w:hAnsi="Arial"/>
          <w:bCs/>
          <w:sz w:val="24"/>
        </w:rPr>
      </w:r>
    </w:p>
    <w:p>
      <w:pPr>
        <w:pStyle w:val="Normal"/>
        <w:shd w:val="clear" w:color="auto" w:fill="F2F2F2" w:themeFill="background1" w:themeFillShade="f2"/>
        <w:bidi w:val="0"/>
        <w:spacing w:before="0" w:after="0"/>
        <w:jc w:val="both"/>
        <w:rPr>
          <w:rFonts w:ascii="Arial" w:hAnsi="Arial"/>
          <w:bCs/>
          <w:sz w:val="24"/>
        </w:rPr>
      </w:pPr>
      <w:r>
        <w:rPr>
          <w:rFonts w:ascii="Arial" w:hAnsi="Arial"/>
          <w:b/>
          <w:sz w:val="24"/>
        </w:rPr>
        <w:t>Mjera 9. Unaprjeđenje rada općinskih tijela i administrativne učinkovitosti</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Ova mjera usmjerena je na jačanje kapaciteta i učinkovitosti predstavničkog (Općinsko vijeće), izvršnog (općinski načelnik) i upravnog tijela (Jedinstveni upravni odjel) kroz digitalizaciju, stručno usavršavanje, modernizaciju poslovnih procesa te transparentnije donošenje odluka.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Svrha provedbe mjere je osigurati učinkovito, stručno i transparentno upravljanje općinom, unaprijediti rad općinske uprave i predstavničkih tijela te povećati razinu dostupnosti i kvalitete javnih usluga za građane.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
          <w:b/>
          <w:sz w:val="24"/>
        </w:rPr>
      </w:pPr>
      <w:r>
        <w:rPr>
          <w:rFonts w:ascii="Arial" w:hAnsi="Arial"/>
          <w:b/>
          <w:sz w:val="24"/>
        </w:rPr>
        <w:t>Procijenjeni trošak provedbe mjere: 2.241.424,00 €</w:t>
      </w:r>
    </w:p>
    <w:p>
      <w:pPr>
        <w:pStyle w:val="Normal"/>
        <w:bidi w:val="0"/>
        <w:spacing w:lineRule="auto" w:line="276" w:before="0" w:after="0"/>
        <w:jc w:val="both"/>
        <w:rPr>
          <w:rFonts w:ascii="Arial" w:hAnsi="Arial"/>
          <w:b/>
          <w:b/>
          <w:sz w:val="24"/>
          <w:highlight w:val="yellow"/>
        </w:rPr>
      </w:pPr>
      <w:r>
        <w:rPr>
          <w:rFonts w:ascii="Arial" w:hAnsi="Arial"/>
          <w:b/>
          <w:sz w:val="24"/>
          <w:highlight w:val="yellow"/>
        </w:rPr>
      </w:r>
    </w:p>
    <w:p>
      <w:pPr>
        <w:pStyle w:val="Normal"/>
        <w:bidi w:val="0"/>
        <w:spacing w:lineRule="auto" w:line="276"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1001 Donošenje akata i mjera iz djelokruga predstavničkog, izvršnog tijela</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1002 Donošenje i provedba akata i mjera iz djelokruga</w:t>
      </w:r>
    </w:p>
    <w:p>
      <w:pPr>
        <w:pStyle w:val="ListParagraph"/>
        <w:numPr>
          <w:ilvl w:val="0"/>
          <w:numId w:val="11"/>
        </w:numPr>
        <w:bidi w:val="0"/>
        <w:spacing w:lineRule="auto" w:line="276" w:before="0" w:after="0"/>
        <w:contextualSpacing/>
        <w:jc w:val="both"/>
        <w:rPr>
          <w:rFonts w:ascii="Arial" w:hAnsi="Arial"/>
          <w:b/>
          <w:b/>
          <w:sz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A1001 01 Redovni rad Općinskog vijeća</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A1001 02 Potpora radu političkih stranaka</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A1002 01 Administrativno, tehničko i stručno osoblje</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A1002 02</w:t>
      </w:r>
      <w:r>
        <w:rPr/>
        <w:t xml:space="preserve"> </w:t>
      </w:r>
      <w:r>
        <w:rPr>
          <w:rFonts w:cs="Arial" w:ascii="Arial" w:hAnsi="Arial"/>
          <w:color w:val="000000" w:themeColor="text1"/>
          <w:sz w:val="24"/>
          <w:szCs w:val="24"/>
        </w:rPr>
        <w:t>Bankarske usluge i usluge platnog prometa</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K1002 01</w:t>
      </w:r>
      <w:r>
        <w:rPr/>
        <w:t xml:space="preserve"> </w:t>
      </w:r>
      <w:r>
        <w:rPr>
          <w:rFonts w:cs="Arial" w:ascii="Arial" w:hAnsi="Arial"/>
          <w:color w:val="000000" w:themeColor="text1"/>
          <w:sz w:val="24"/>
          <w:szCs w:val="24"/>
        </w:rPr>
        <w:t>Nabava dugotrajne imovine</w:t>
      </w:r>
    </w:p>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793"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Digitalna modernizacija i razvoj upravnih kapaciteta kroz uvođenje e-usluga, edukaciju službenika i vijećnika te unapređenje komunikacije i uključivanja građana u odlučivanje</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tekuće godine</w:t>
            </w:r>
          </w:p>
        </w:tc>
        <w:tc>
          <w:tcPr>
            <w:tcW w:w="2700"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2029.</w:t>
            </w:r>
          </w:p>
        </w:tc>
      </w:tr>
    </w:tbl>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816"/>
        <w:gridCol w:w="1497"/>
        <w:gridCol w:w="1438"/>
        <w:gridCol w:w="1437"/>
        <w:gridCol w:w="1436"/>
        <w:gridCol w:w="1437"/>
      </w:tblGrid>
      <w:tr>
        <w:trPr/>
        <w:tc>
          <w:tcPr>
            <w:tcW w:w="1816"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497"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5748"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816"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497"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438"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437"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436"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37"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1103" w:hRule="atLeast"/>
        </w:trPr>
        <w:tc>
          <w:tcPr>
            <w:tcW w:w="1816"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provedenih edukacija/stručnih usavršavanja za službenike</w:t>
            </w:r>
          </w:p>
        </w:tc>
        <w:tc>
          <w:tcPr>
            <w:tcW w:w="149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c>
          <w:tcPr>
            <w:tcW w:w="143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c>
          <w:tcPr>
            <w:tcW w:w="143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c>
          <w:tcPr>
            <w:tcW w:w="1436"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c>
          <w:tcPr>
            <w:tcW w:w="1437"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r>
    </w:tbl>
    <w:p>
      <w:pPr>
        <w:pStyle w:val="Normal"/>
        <w:bidi w:val="0"/>
        <w:spacing w:lineRule="auto" w:line="276" w:before="0" w:after="0"/>
        <w:jc w:val="both"/>
        <w:rPr>
          <w:rFonts w:ascii="Arial" w:hAnsi="Arial"/>
          <w:bCs/>
          <w:sz w:val="24"/>
        </w:rPr>
      </w:pPr>
      <w:r>
        <w:rPr>
          <w:rFonts w:ascii="Arial" w:hAnsi="Arial"/>
          <w:bCs/>
          <w:sz w:val="24"/>
        </w:rPr>
      </w:r>
    </w:p>
    <w:p>
      <w:pPr>
        <w:pStyle w:val="Normal"/>
        <w:shd w:val="clear" w:color="auto" w:fill="F2F2F2" w:themeFill="background1" w:themeFillShade="f2"/>
        <w:bidi w:val="0"/>
        <w:spacing w:before="0" w:after="0"/>
        <w:jc w:val="both"/>
        <w:rPr>
          <w:rFonts w:ascii="Arial" w:hAnsi="Arial"/>
          <w:bCs/>
          <w:sz w:val="24"/>
        </w:rPr>
      </w:pPr>
      <w:r>
        <w:rPr>
          <w:rFonts w:ascii="Arial" w:hAnsi="Arial"/>
          <w:b/>
          <w:sz w:val="24"/>
        </w:rPr>
        <w:t>Mjera 10. Jačanje pripravnosti i otpornosti lokalne zajednice na krizne i izvanredne situacije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Mjera obuhvaća aktivnosti koje doprinose jačanju kapaciteta sustava civilne i protupožarne zaštite u općini. U fokusu su prevencija, operativna spremnost i suradnja svih dionika uključenih u zaštitu i spašavanje. Mjera uključuje nabavu opreme, edukaciju i osposobljavanje operativnih snaga, izradu i ažuriranje planskih dokumenata te podizanje svijesti građana o ponašanju u kriznim situacijama.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t>Svrha provedbe mjere je osigurati učinkovitu zaštitu stanovništva, imovine i okoliša kroz povećanje operativne spremnosti lokalnih snaga i izgradnju sustava koji može brzo i koordinirano odgovoriti na požare, poplave, elementarne nepogode i druge izvanredne događaje.</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
          <w:b/>
          <w:sz w:val="24"/>
        </w:rPr>
      </w:pPr>
      <w:r>
        <w:rPr>
          <w:rFonts w:ascii="Arial" w:hAnsi="Arial"/>
          <w:b/>
          <w:sz w:val="24"/>
        </w:rPr>
        <w:t>Procijenjeni trošak provedbe mjere: 39.900,00 €</w:t>
      </w:r>
    </w:p>
    <w:p>
      <w:pPr>
        <w:pStyle w:val="Normal"/>
        <w:bidi w:val="0"/>
        <w:spacing w:lineRule="auto" w:line="276" w:before="0" w:after="0"/>
        <w:jc w:val="both"/>
        <w:rPr>
          <w:rFonts w:ascii="Arial" w:hAnsi="Arial"/>
          <w:b/>
          <w:b/>
          <w:sz w:val="24"/>
          <w:highlight w:val="yellow"/>
        </w:rPr>
      </w:pPr>
      <w:r>
        <w:rPr>
          <w:rFonts w:ascii="Arial" w:hAnsi="Arial"/>
          <w:b/>
          <w:sz w:val="24"/>
          <w:highlight w:val="yellow"/>
        </w:rPr>
      </w:r>
    </w:p>
    <w:p>
      <w:pPr>
        <w:pStyle w:val="Normal"/>
        <w:bidi w:val="0"/>
        <w:spacing w:lineRule="auto" w:line="276" w:before="0" w:after="0"/>
        <w:jc w:val="both"/>
        <w:rPr>
          <w:rFonts w:ascii="Arial" w:hAnsi="Arial" w:cs="Arial"/>
          <w:color w:val="000000" w:themeColor="text1"/>
          <w:sz w:val="24"/>
          <w:szCs w:val="24"/>
        </w:rPr>
      </w:pPr>
      <w:r>
        <w:rPr>
          <w:rFonts w:cs="Arial" w:ascii="Arial" w:hAnsi="Arial"/>
          <w:b/>
          <w:bCs/>
          <w:color w:val="000000" w:themeColor="text1"/>
          <w:sz w:val="24"/>
          <w:szCs w:val="24"/>
        </w:rPr>
        <w:t>Izvor:</w:t>
      </w:r>
      <w:r>
        <w:rPr>
          <w:rFonts w:cs="Arial" w:ascii="Arial" w:hAnsi="Arial"/>
          <w:color w:val="000000" w:themeColor="text1"/>
          <w:sz w:val="24"/>
          <w:szCs w:val="24"/>
        </w:rPr>
        <w:t xml:space="preserve"> </w:t>
      </w:r>
    </w:p>
    <w:p>
      <w:pPr>
        <w:pStyle w:val="ListParagraph"/>
        <w:numPr>
          <w:ilvl w:val="0"/>
          <w:numId w:val="11"/>
        </w:numPr>
        <w:bidi w:val="0"/>
        <w:spacing w:lineRule="auto" w:line="276" w:before="0" w:after="0"/>
        <w:contextualSpacing/>
        <w:jc w:val="both"/>
        <w:rPr>
          <w:rFonts w:ascii="Arial" w:hAnsi="Arial" w:cs="Arial"/>
          <w:color w:val="002060"/>
          <w:sz w:val="24"/>
          <w:szCs w:val="24"/>
        </w:rPr>
      </w:pPr>
      <w:r>
        <w:rPr>
          <w:rFonts w:cs="Arial" w:ascii="Arial" w:hAnsi="Arial"/>
          <w:color w:val="C00000"/>
          <w:sz w:val="24"/>
          <w:szCs w:val="24"/>
        </w:rPr>
        <w:t xml:space="preserve">Proračunski program: </w:t>
      </w:r>
    </w:p>
    <w:p>
      <w:pPr>
        <w:pStyle w:val="ListParagraph"/>
        <w:numPr>
          <w:ilvl w:val="1"/>
          <w:numId w:val="11"/>
        </w:numPr>
        <w:bidi w:val="0"/>
        <w:spacing w:lineRule="auto" w:line="276" w:before="0" w:after="0"/>
        <w:contextualSpacing/>
        <w:jc w:val="both"/>
        <w:rPr>
          <w:rFonts w:ascii="Arial" w:hAnsi="Arial" w:cs="Arial"/>
          <w:color w:val="002060"/>
          <w:sz w:val="24"/>
          <w:szCs w:val="24"/>
        </w:rPr>
      </w:pPr>
      <w:r>
        <w:rPr>
          <w:rFonts w:cs="Arial" w:ascii="Arial" w:hAnsi="Arial"/>
          <w:color w:val="000000" w:themeColor="text1"/>
          <w:sz w:val="24"/>
          <w:szCs w:val="24"/>
        </w:rPr>
        <w:t>1003 Protupožarna i civilna zaštita</w:t>
      </w:r>
    </w:p>
    <w:p>
      <w:pPr>
        <w:pStyle w:val="ListParagraph"/>
        <w:numPr>
          <w:ilvl w:val="0"/>
          <w:numId w:val="11"/>
        </w:numPr>
        <w:bidi w:val="0"/>
        <w:spacing w:lineRule="auto" w:line="276" w:before="0" w:after="0"/>
        <w:contextualSpacing/>
        <w:jc w:val="both"/>
        <w:rPr>
          <w:rFonts w:ascii="Arial" w:hAnsi="Arial"/>
          <w:b/>
          <w:b/>
          <w:sz w:val="24"/>
        </w:rPr>
      </w:pPr>
      <w:r>
        <w:rPr>
          <w:rFonts w:cs="Arial" w:ascii="Arial" w:hAnsi="Arial"/>
          <w:color w:val="C00000"/>
          <w:sz w:val="24"/>
          <w:szCs w:val="24"/>
        </w:rPr>
        <w:t>Proračunske aktivnosti/projekti:</w:t>
      </w:r>
      <w:r>
        <w:rPr>
          <w:rFonts w:cs="Arial" w:ascii="Arial" w:hAnsi="Arial"/>
          <w:color w:val="002060"/>
          <w:sz w:val="24"/>
          <w:szCs w:val="24"/>
        </w:rPr>
        <w:t xml:space="preserve"> </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 xml:space="preserve">A1003 01 Protupožarna zaštita </w:t>
      </w:r>
    </w:p>
    <w:p>
      <w:pPr>
        <w:pStyle w:val="ListParagraph"/>
        <w:numPr>
          <w:ilvl w:val="1"/>
          <w:numId w:val="11"/>
        </w:numPr>
        <w:bidi w:val="0"/>
        <w:spacing w:lineRule="auto" w:line="276" w:before="0" w:after="0"/>
        <w:contextualSpacing/>
        <w:jc w:val="both"/>
        <w:rPr>
          <w:rFonts w:ascii="Arial" w:hAnsi="Arial"/>
          <w:b/>
          <w:b/>
          <w:sz w:val="24"/>
        </w:rPr>
      </w:pPr>
      <w:r>
        <w:rPr>
          <w:rFonts w:cs="Arial" w:ascii="Arial" w:hAnsi="Arial"/>
          <w:color w:val="000000" w:themeColor="text1"/>
          <w:sz w:val="24"/>
          <w:szCs w:val="24"/>
        </w:rPr>
        <w:t>A1003 02 Civilna zaštita</w:t>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10"/>
        <w:gridCol w:w="3152"/>
        <w:gridCol w:w="2700"/>
      </w:tblGrid>
      <w:tr>
        <w:trPr/>
        <w:tc>
          <w:tcPr>
            <w:tcW w:w="321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Ključne aktivnosti</w:t>
            </w:r>
          </w:p>
        </w:tc>
        <w:tc>
          <w:tcPr>
            <w:tcW w:w="3152"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Planirani rok postignuća</w:t>
            </w:r>
          </w:p>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aktivnosti</w:t>
            </w:r>
          </w:p>
        </w:tc>
        <w:tc>
          <w:tcPr>
            <w:tcW w:w="2700" w:type="dxa"/>
            <w:tcBorders/>
            <w:shd w:color="auto" w:fill="C00000" w:val="clear"/>
            <w:vAlign w:val="center"/>
          </w:tcPr>
          <w:p>
            <w:pPr>
              <w:pStyle w:val="Normal"/>
              <w:widowControl w:val="false"/>
              <w:bidi w:val="0"/>
              <w:spacing w:lineRule="auto" w:line="240" w:before="0" w:after="0"/>
              <w:jc w:val="center"/>
              <w:rPr>
                <w:rFonts w:ascii="Arial" w:hAnsi="Arial" w:eastAsia="Arial" w:cs="Arial"/>
                <w:b/>
                <w:b/>
                <w:bCs/>
                <w:color w:val="FFFFFF"/>
                <w:sz w:val="20"/>
                <w:szCs w:val="20"/>
              </w:rPr>
            </w:pPr>
            <w:r>
              <w:rPr>
                <w:rFonts w:eastAsia="Arial" w:cs="Arial" w:ascii="Arial" w:hAnsi="Arial"/>
                <w:b/>
                <w:bCs/>
                <w:color w:val="FFFFFF"/>
                <w:sz w:val="20"/>
                <w:szCs w:val="20"/>
                <w:lang w:val="hr-HR" w:eastAsia="en-US" w:bidi="ar-SA"/>
              </w:rPr>
              <w:t>Rok provedbe mjere</w:t>
            </w:r>
          </w:p>
        </w:tc>
      </w:tr>
      <w:tr>
        <w:trPr>
          <w:trHeight w:val="1793" w:hRule="atLeast"/>
        </w:trPr>
        <w:tc>
          <w:tcPr>
            <w:tcW w:w="3210" w:type="dxa"/>
            <w:tcBorders/>
            <w:shd w:color="auto" w:fill="FFFFFF" w:val="clear"/>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Nabava osnovne opreme, edukacija članova Stožera civilne zaštite, suradnja s vatrogasnim postrojbama, provedbu terenskih vježbi i ažuriranje planskih dokumenata</w:t>
            </w:r>
          </w:p>
        </w:tc>
        <w:tc>
          <w:tcPr>
            <w:tcW w:w="3152"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tekuće godine</w:t>
            </w:r>
          </w:p>
        </w:tc>
        <w:tc>
          <w:tcPr>
            <w:tcW w:w="2700" w:type="dxa"/>
            <w:tcBorders/>
            <w:vAlign w:val="center"/>
          </w:tcPr>
          <w:p>
            <w:pPr>
              <w:pStyle w:val="Normal"/>
              <w:widowControl w:val="false"/>
              <w:bidi w:val="0"/>
              <w:spacing w:lineRule="auto" w:line="240" w:before="0" w:after="0"/>
              <w:jc w:val="center"/>
              <w:rPr>
                <w:rFonts w:ascii="Arial" w:hAnsi="Arial" w:eastAsia="Arial" w:cs="Arial"/>
                <w:color w:val="000000" w:themeColor="text1"/>
                <w:sz w:val="20"/>
                <w:szCs w:val="20"/>
              </w:rPr>
            </w:pPr>
            <w:r>
              <w:rPr>
                <w:rFonts w:eastAsia="Arial" w:cs="Arial" w:ascii="Arial" w:hAnsi="Arial"/>
                <w:color w:val="000000" w:themeColor="text1"/>
                <w:sz w:val="20"/>
                <w:szCs w:val="20"/>
                <w:lang w:val="hr-HR" w:eastAsia="en-US" w:bidi="ar-SA"/>
              </w:rPr>
              <w:t>prosinac 2029.</w:t>
            </w:r>
          </w:p>
        </w:tc>
      </w:tr>
    </w:tbl>
    <w:p>
      <w:pPr>
        <w:pStyle w:val="Normal"/>
        <w:bidi w:val="0"/>
        <w:spacing w:lineRule="auto" w:line="276" w:before="0" w:after="0"/>
        <w:jc w:val="both"/>
        <w:rPr>
          <w:rFonts w:ascii="Arial" w:hAnsi="Arial"/>
          <w:bCs/>
          <w:sz w:val="24"/>
        </w:rPr>
      </w:pPr>
      <w:r>
        <w:rPr>
          <w:rFonts w:ascii="Arial" w:hAnsi="Arial"/>
          <w:bCs/>
          <w:sz w:val="24"/>
        </w:rPr>
      </w:r>
    </w:p>
    <w:tbl>
      <w:tblPr>
        <w:tblStyle w:val="Reetkatablice"/>
        <w:tblW w:w="906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30"/>
        <w:gridCol w:w="1528"/>
        <w:gridCol w:w="1501"/>
        <w:gridCol w:w="1500"/>
        <w:gridCol w:w="1503"/>
        <w:gridCol w:w="1499"/>
      </w:tblGrid>
      <w:tr>
        <w:trPr/>
        <w:tc>
          <w:tcPr>
            <w:tcW w:w="1530"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Pokazatelji</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rezultata</w:t>
            </w:r>
          </w:p>
        </w:tc>
        <w:tc>
          <w:tcPr>
            <w:tcW w:w="1528" w:type="dxa"/>
            <w:vMerge w:val="restart"/>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Početna</w:t>
            </w:r>
          </w:p>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vrijednost</w:t>
            </w:r>
          </w:p>
        </w:tc>
        <w:tc>
          <w:tcPr>
            <w:tcW w:w="6003" w:type="dxa"/>
            <w:gridSpan w:val="4"/>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Ciljne vrijednosti</w:t>
            </w:r>
          </w:p>
        </w:tc>
      </w:tr>
      <w:tr>
        <w:trPr/>
        <w:tc>
          <w:tcPr>
            <w:tcW w:w="1530"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28" w:type="dxa"/>
            <w:vMerge w:val="continue"/>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cs="Arial" w:ascii="Arial" w:hAnsi="Arial"/>
                <w:b/>
                <w:bCs/>
                <w:color w:val="FFFFFF" w:themeColor="background1"/>
                <w:sz w:val="20"/>
                <w:szCs w:val="20"/>
              </w:rPr>
            </w:r>
          </w:p>
        </w:tc>
        <w:tc>
          <w:tcPr>
            <w:tcW w:w="1501"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2026.</w:t>
            </w:r>
          </w:p>
        </w:tc>
        <w:tc>
          <w:tcPr>
            <w:tcW w:w="1500"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2027.</w:t>
            </w:r>
          </w:p>
        </w:tc>
        <w:tc>
          <w:tcPr>
            <w:tcW w:w="1503"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2028.</w:t>
            </w:r>
          </w:p>
        </w:tc>
        <w:tc>
          <w:tcPr>
            <w:tcW w:w="1499" w:type="dxa"/>
            <w:tcBorders/>
            <w:shd w:color="auto" w:fill="C00000" w:val="clear"/>
            <w:vAlign w:val="center"/>
          </w:tcPr>
          <w:p>
            <w:pPr>
              <w:pStyle w:val="Normal"/>
              <w:widowControl w:val="false"/>
              <w:bidi w:val="0"/>
              <w:spacing w:lineRule="auto" w:line="240" w:before="0" w:after="0"/>
              <w:jc w:val="center"/>
              <w:rPr>
                <w:rFonts w:ascii="Arial" w:hAnsi="Arial" w:cs="Arial"/>
                <w:b/>
                <w:b/>
                <w:bCs/>
                <w:color w:val="FFFFFF" w:themeColor="background1"/>
                <w:sz w:val="20"/>
                <w:szCs w:val="20"/>
              </w:rPr>
            </w:pPr>
            <w:r>
              <w:rPr>
                <w:rFonts w:eastAsia="Calibri" w:cs="Arial" w:ascii="Arial" w:hAnsi="Arial"/>
                <w:b/>
                <w:bCs/>
                <w:color w:val="FFFFFF" w:themeColor="background1"/>
                <w:sz w:val="20"/>
                <w:szCs w:val="20"/>
                <w:lang w:val="hr-HR" w:eastAsia="en-US" w:bidi="ar-SA"/>
              </w:rPr>
              <w:t>2029.</w:t>
            </w:r>
          </w:p>
        </w:tc>
      </w:tr>
      <w:tr>
        <w:trPr>
          <w:trHeight w:val="2204"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provedenih edukacija i terenskih vježbi civilne i protupožarne zaštite godišnje</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1</w:t>
            </w:r>
          </w:p>
        </w:tc>
      </w:tr>
      <w:tr>
        <w:trPr>
          <w:trHeight w:val="2263" w:hRule="atLeast"/>
        </w:trPr>
        <w:tc>
          <w:tcPr>
            <w:tcW w:w="1530" w:type="dxa"/>
            <w:tcBorders/>
            <w:shd w:color="auto" w:fill="FFFFFF" w:themeFill="background1" w:val="clear"/>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broj ažuriranih i/ili donesenih planskih dokumenata civilne i protupožarne zaštite godišnje</w:t>
            </w:r>
          </w:p>
        </w:tc>
        <w:tc>
          <w:tcPr>
            <w:tcW w:w="1528"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c>
          <w:tcPr>
            <w:tcW w:w="1501"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c>
          <w:tcPr>
            <w:tcW w:w="1500"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c>
          <w:tcPr>
            <w:tcW w:w="1503"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c>
          <w:tcPr>
            <w:tcW w:w="1499" w:type="dxa"/>
            <w:tcBorders/>
            <w:vAlign w:val="center"/>
          </w:tcPr>
          <w:p>
            <w:pPr>
              <w:pStyle w:val="Normal"/>
              <w:widowControl w:val="false"/>
              <w:bidi w:val="0"/>
              <w:spacing w:lineRule="auto" w:line="240" w:before="0" w:after="0"/>
              <w:jc w:val="center"/>
              <w:rPr>
                <w:rFonts w:ascii="Arial" w:hAnsi="Arial" w:cs="Arial"/>
                <w:color w:val="000000" w:themeColor="text1"/>
                <w:sz w:val="20"/>
                <w:szCs w:val="20"/>
              </w:rPr>
            </w:pPr>
            <w:r>
              <w:rPr>
                <w:rFonts w:eastAsia="Calibri" w:cs="Arial" w:ascii="Arial" w:hAnsi="Arial"/>
                <w:color w:val="000000" w:themeColor="text1"/>
                <w:sz w:val="20"/>
                <w:szCs w:val="20"/>
                <w:lang w:val="hr-HR" w:eastAsia="en-US" w:bidi="ar-SA"/>
              </w:rPr>
              <w:t>4</w:t>
            </w:r>
          </w:p>
        </w:tc>
      </w:tr>
    </w:tbl>
    <w:p>
      <w:pPr>
        <w:pStyle w:val="Normal"/>
        <w:bidi w:val="0"/>
        <w:spacing w:before="0" w:after="0"/>
        <w:jc w:val="left"/>
        <w:rPr>
          <w:rFonts w:ascii="Arial" w:hAnsi="Arial"/>
          <w:b/>
          <w:b/>
          <w:sz w:val="24"/>
        </w:rPr>
      </w:pPr>
      <w:r>
        <w:rPr>
          <w:rFonts w:ascii="Arial" w:hAnsi="Arial"/>
          <w:b/>
          <w:sz w:val="24"/>
        </w:rPr>
      </w:r>
    </w:p>
    <w:p>
      <w:pPr>
        <w:pStyle w:val="Normal"/>
        <w:bidi w:val="0"/>
        <w:spacing w:before="0" w:after="0"/>
        <w:jc w:val="left"/>
        <w:rPr>
          <w:rFonts w:ascii="Arial" w:hAnsi="Arial"/>
          <w:b/>
          <w:b/>
          <w:sz w:val="24"/>
        </w:rPr>
      </w:pPr>
      <w:r>
        <w:rPr>
          <w:rFonts w:ascii="Arial" w:hAnsi="Arial"/>
          <w:b/>
          <w:sz w:val="24"/>
        </w:rPr>
      </w:r>
    </w:p>
    <w:p>
      <w:pPr>
        <w:pStyle w:val="Stilnaslova1"/>
        <w:numPr>
          <w:ilvl w:val="0"/>
          <w:numId w:val="3"/>
        </w:numPr>
        <w:bidi w:val="0"/>
        <w:spacing w:before="0" w:after="0"/>
        <w:jc w:val="left"/>
        <w:rPr/>
      </w:pPr>
      <w:bookmarkStart w:id="29" w:name="_Toc203651351"/>
      <w:r>
        <w:rPr/>
        <w:t>OKVIR ZA PRAĆENJE PROVEDBE</w:t>
      </w:r>
      <w:bookmarkEnd w:id="29"/>
    </w:p>
    <w:p>
      <w:pPr>
        <w:pStyle w:val="Normal"/>
        <w:bidi w:val="0"/>
        <w:spacing w:lineRule="auto" w:line="276" w:before="0" w:after="0"/>
        <w:jc w:val="both"/>
        <w:rPr>
          <w:rFonts w:ascii="Arial" w:hAnsi="Arial"/>
          <w:b/>
          <w:b/>
          <w:sz w:val="24"/>
        </w:rPr>
      </w:pPr>
      <w:r>
        <w:rPr>
          <w:rFonts w:ascii="Arial" w:hAnsi="Arial"/>
          <w:b/>
          <w:sz w:val="24"/>
        </w:rPr>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t xml:space="preserve">Praćenje i izvještavanje sastavni su dijelovi procesa strateškog planiranja. Praćenje napretka u provedbi provedbenog programa jedinice lokalne samouprave obuhvaća procese prikupljanja, analize i usporedbe podataka o utvrđenim pokazateljima rezultata kojima se sustavno prati napredak provedbe mjera utvrđenih u aktu strateškog planiranja. </w:t>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t>Rokovi i postupci praćenja i izvještavanja o provedbi akata strateškog propisani su Pravilnikom o rokovima i postupcima praćenja i izvješćivanja o provedbi akata strateškog planiranja od nacionalnog značaja i od značaja za jedinice lokalne i područne (regionalne) samouprave („Narodne novine“, br. 44/23).</w:t>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t>Izmjenama zakonodavnog okvira sustava strateškog planiranja (Zakon o izmjenama i dopunama Zakona o sustavu strateškog planiranja NN 151/2022) ukinuta je obveza izrade i podnošenja polugodišnjeg izvješća o provedbi provedbenog programa.</w:t>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t>Godišnje izvješće o provedbi provedbenog programa jedinice lokalne  samouprave je izvješće o napretku u provedbi mjera, aktivnosti i projekata te ostvarivanju pokazatelja rezultata, koje izvršno tijelo jedinice lokalne  samouprave, u suradnji s nadležnim regionalnim odnosno lokalnim koordinatorom, izrađuje u skladu s Uputama za izradu godišnjeg izvješća o provedbi provedbenog programa jedinica lokalne i područne (regionalne) samouprave (Dokument: UI-GI/PP-2 Inačica: 1.1, prosinac 2023.) i javno objavljuje.</w:t>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t>Godišnje izvješće o provedbi provedbenih programa podnosi se do 15. veljače tekuće godine za prethodnu godinu.</w:t>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t>Obveznik izrade godišnjeg izvješća o provedbi provedbenih programa jedinice lokalne samouprave je lokalni koordinator. Jedinica lokalne samouprave izvješćuje putem lokalnog koordinatora godišnje regionalnog koordinatora i Koordinacijsko tijelo (središnje tijelo državne uprave nadležno za poslove regionalnog razvoja i fondova EU).</w:t>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bidi w:val="0"/>
        <w:spacing w:lineRule="auto" w:line="276" w:before="0" w:after="0"/>
        <w:jc w:val="both"/>
        <w:rPr>
          <w:rFonts w:ascii="Arial" w:hAnsi="Arial" w:eastAsia="Arial" w:cs="Arial"/>
          <w:color w:val="000000"/>
          <w:sz w:val="24"/>
          <w:szCs w:val="24"/>
        </w:rPr>
      </w:pPr>
      <w:r>
        <w:rPr>
          <w:rFonts w:eastAsia="Arial" w:cs="Arial" w:ascii="Arial" w:hAnsi="Arial"/>
          <w:color w:val="000000"/>
          <w:sz w:val="24"/>
          <w:szCs w:val="24"/>
        </w:rPr>
        <w:t>Institucionalni okvir za praćenje i izvještavanje o provedbi akata strateškog planiranja od nacionalnog značaja i značaja za jedinice lokalne i područne (regionalne) samouprave čine javna tijela određena člankom 32. Zakona</w:t>
      </w:r>
      <w:r>
        <w:rPr>
          <w:rFonts w:eastAsia="Arial" w:cs="Arial" w:ascii="Arial" w:hAnsi="Arial"/>
          <w:sz w:val="24"/>
          <w:szCs w:val="24"/>
        </w:rPr>
        <w:t xml:space="preserve"> </w:t>
      </w:r>
      <w:r>
        <w:rPr>
          <w:rFonts w:eastAsia="Arial" w:cs="Arial" w:ascii="Arial" w:hAnsi="Arial"/>
          <w:color w:val="000000"/>
          <w:sz w:val="24"/>
          <w:szCs w:val="24"/>
        </w:rPr>
        <w:t>o sustavu strateškog planiranja i upravljanja razvojem Republike Hrvatske</w:t>
      </w:r>
      <w:r>
        <w:rPr>
          <w:rFonts w:eastAsia="Arial" w:cs="Arial" w:ascii="Arial" w:hAnsi="Arial"/>
          <w:sz w:val="24"/>
          <w:szCs w:val="24"/>
        </w:rPr>
        <w:t xml:space="preserve"> („Narodne novine“, br. 123/17,</w:t>
      </w:r>
      <w:r>
        <w:rPr>
          <w:rFonts w:eastAsia="Arial" w:cs="Arial" w:ascii="Arial" w:hAnsi="Arial"/>
        </w:rPr>
        <w:t xml:space="preserve"> </w:t>
      </w:r>
      <w:r>
        <w:rPr>
          <w:rFonts w:eastAsia="Arial" w:cs="Arial" w:ascii="Arial" w:hAnsi="Arial"/>
          <w:sz w:val="24"/>
          <w:szCs w:val="24"/>
        </w:rPr>
        <w:t>151/22)</w:t>
      </w:r>
      <w:r>
        <w:rPr>
          <w:rFonts w:eastAsia="Arial" w:cs="Arial" w:ascii="Arial" w:hAnsi="Arial"/>
          <w:color w:val="000000"/>
          <w:sz w:val="24"/>
          <w:szCs w:val="24"/>
        </w:rPr>
        <w:t>: Hrvatski Sabor, Vlada Republike Hrvatske, središnja tijela državne uprave, jedinice lokalne i područne (regionalne) samouprave, Koordinacijsko tijelo, koordinatori za strateško planiranje središnjih tijela državne uprave, regionalni i lokalni koordinatori te druga javna tijela koja imaju obveze i odgovornosti praćenja i izvještavanja o provedbi akata strateškog planiranja sukladno Zakonu.</w:t>
      </w:r>
    </w:p>
    <w:p>
      <w:pPr>
        <w:pStyle w:val="Normal"/>
        <w:bidi w:val="0"/>
        <w:spacing w:before="0" w:after="0"/>
        <w:jc w:val="center"/>
        <w:rPr>
          <w:rFonts w:ascii="Arial" w:hAnsi="Arial"/>
          <w:b/>
          <w:b/>
          <w:bCs/>
          <w:sz w:val="24"/>
        </w:rPr>
      </w:pPr>
      <w:r>
        <w:rPr>
          <w:rFonts w:ascii="Arial" w:hAnsi="Arial"/>
          <w:b/>
          <w:bCs/>
          <w:sz w:val="24"/>
        </w:rPr>
      </w:r>
    </w:p>
    <w:p>
      <w:pPr>
        <w:pStyle w:val="Normal"/>
        <w:bidi w:val="0"/>
        <w:spacing w:before="0" w:after="0"/>
        <w:jc w:val="center"/>
        <w:rPr>
          <w:rFonts w:ascii="Arial" w:hAnsi="Arial"/>
          <w:b/>
          <w:b/>
          <w:bCs/>
          <w:sz w:val="24"/>
        </w:rPr>
      </w:pPr>
      <w:r>
        <w:rPr>
          <w:rFonts w:ascii="Arial" w:hAnsi="Arial"/>
          <w:b/>
          <w:bCs/>
          <w:sz w:val="24"/>
        </w:rPr>
      </w:r>
    </w:p>
    <w:p>
      <w:pPr>
        <w:pStyle w:val="Stilnaslova1"/>
        <w:numPr>
          <w:ilvl w:val="0"/>
          <w:numId w:val="0"/>
        </w:numPr>
        <w:bidi w:val="0"/>
        <w:spacing w:before="0" w:after="0"/>
        <w:ind w:left="432" w:hanging="432"/>
        <w:jc w:val="left"/>
        <w:rPr/>
      </w:pPr>
      <w:bookmarkStart w:id="30" w:name="_Toc203121201"/>
      <w:bookmarkStart w:id="31" w:name="_Toc203651352"/>
      <w:r>
        <w:rPr/>
        <w:t>PRILOG 1. Tablični prikaz provedbenog programa</w:t>
      </w:r>
      <w:bookmarkEnd w:id="30"/>
      <w:bookmarkEnd w:id="31"/>
    </w:p>
    <w:p>
      <w:pPr>
        <w:pStyle w:val="Normal"/>
        <w:bidi w:val="0"/>
        <w:spacing w:lineRule="auto" w:line="276" w:before="0" w:after="0"/>
        <w:jc w:val="both"/>
        <w:rPr>
          <w:rFonts w:ascii="Arial" w:hAnsi="Arial"/>
          <w:b/>
          <w:b/>
          <w:bCs/>
          <w:sz w:val="24"/>
        </w:rPr>
      </w:pPr>
      <w:r>
        <w:rPr>
          <w:rFonts w:ascii="Arial" w:hAnsi="Arial"/>
          <w:b/>
          <w:bCs/>
          <w:sz w:val="24"/>
        </w:rPr>
      </w:r>
    </w:p>
    <w:p>
      <w:pPr>
        <w:pStyle w:val="Normal"/>
        <w:bidi w:val="0"/>
        <w:spacing w:lineRule="auto" w:line="276" w:before="0" w:after="0"/>
        <w:jc w:val="both"/>
        <w:rPr>
          <w:rFonts w:ascii="Arial" w:hAnsi="Arial" w:eastAsia="Arial" w:cs="Arial"/>
          <w:bCs/>
          <w:sz w:val="24"/>
          <w:szCs w:val="24"/>
        </w:rPr>
      </w:pPr>
      <w:r>
        <w:rPr>
          <w:rFonts w:eastAsia="Arial" w:cs="Arial" w:ascii="Arial" w:hAnsi="Arial"/>
          <w:bCs/>
          <w:sz w:val="24"/>
          <w:szCs w:val="24"/>
        </w:rPr>
        <w:t>Tablični prikaz provedbenog programa predstavlja osnovu za digitalizaciju postupaka u procesu strateškog planiranja te su nositelji izrade obvezni, uz tekstualni dio provedbenog programa (word dokument), priložiti i popunjeni Prilog 1. Tablični prikaz provedbenog programa JLP(R)S (.xslx datoteka programa Microsoft Excel).</w:t>
      </w:r>
    </w:p>
    <w:p>
      <w:pPr>
        <w:pStyle w:val="Normal"/>
        <w:bidi w:val="0"/>
        <w:spacing w:lineRule="auto" w:line="276" w:before="0" w:after="0"/>
        <w:jc w:val="both"/>
        <w:rPr>
          <w:rFonts w:ascii="Arial" w:hAnsi="Arial" w:eastAsia="Times New Roman" w:cs="Arial"/>
          <w:bCs/>
          <w:sz w:val="24"/>
          <w:szCs w:val="24"/>
        </w:rPr>
      </w:pPr>
      <w:r>
        <w:rPr>
          <w:rFonts w:eastAsia="Times New Roman" w:cs="Arial" w:ascii="Arial" w:hAnsi="Arial"/>
          <w:bCs/>
          <w:sz w:val="24"/>
          <w:szCs w:val="24"/>
        </w:rPr>
      </w:r>
    </w:p>
    <w:p>
      <w:pPr>
        <w:pStyle w:val="Normal"/>
        <w:bidi w:val="0"/>
        <w:spacing w:lineRule="auto" w:line="276" w:before="0" w:after="0"/>
        <w:contextualSpacing/>
        <w:jc w:val="both"/>
        <w:rPr>
          <w:rFonts w:ascii="Arial" w:hAnsi="Arial" w:cs="Arial"/>
          <w:sz w:val="24"/>
          <w:szCs w:val="24"/>
        </w:rPr>
      </w:pPr>
      <w:r>
        <w:rPr>
          <w:rFonts w:cs="Arial" w:ascii="Arial" w:hAnsi="Arial"/>
          <w:sz w:val="24"/>
          <w:szCs w:val="24"/>
        </w:rPr>
        <w:t xml:space="preserve">U Prilogu 1. je, u skladu sa sadržajem utvrđenim u tekstualnom dijelu, potrebno unijeti podatke u sljedeće stupce </w:t>
      </w:r>
      <w:r>
        <w:rPr>
          <w:rFonts w:cs="Arial" w:ascii="Arial" w:hAnsi="Arial"/>
          <w:b/>
          <w:bCs/>
          <w:sz w:val="24"/>
          <w:szCs w:val="24"/>
        </w:rPr>
        <w:t>(broj stupca)</w:t>
      </w:r>
      <w:r>
        <w:rPr>
          <w:rFonts w:cs="Arial" w:ascii="Arial" w:hAnsi="Arial"/>
          <w:sz w:val="24"/>
          <w:szCs w:val="24"/>
        </w:rPr>
        <w:t xml:space="preserve">: </w:t>
      </w:r>
    </w:p>
    <w:p>
      <w:pPr>
        <w:pStyle w:val="Normal"/>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b/>
          <w:b/>
          <w:bCs/>
          <w:sz w:val="24"/>
          <w:szCs w:val="24"/>
        </w:rPr>
      </w:pPr>
      <w:r>
        <w:rPr>
          <w:rFonts w:cs="Arial" w:ascii="Arial" w:hAnsi="Arial"/>
          <w:b/>
          <w:bCs/>
          <w:sz w:val="24"/>
          <w:szCs w:val="24"/>
        </w:rPr>
        <w:t xml:space="preserve">(1) Doprinos provedbi nadređenog akta strateškog planiranja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Navesti puni naziv hijerarhijski nadređenog akta strateškog planiranja (plan razvoja JP(R)S ili plan razvoja JLS).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b/>
          <w:b/>
          <w:bCs/>
          <w:sz w:val="24"/>
          <w:szCs w:val="24"/>
        </w:rPr>
      </w:pPr>
      <w:r>
        <w:rPr>
          <w:rFonts w:cs="Arial" w:ascii="Arial" w:hAnsi="Arial"/>
          <w:b/>
          <w:bCs/>
          <w:sz w:val="24"/>
          <w:szCs w:val="24"/>
        </w:rPr>
        <w:t xml:space="preserve">(2) Naziv cilja hijerarhijski nadređenog akta strateškog planiranja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Unijeti naziv posebnog cilja iz hijerarhijski nadređenog akta strateškog planiranja čijem se ostvarenju doprinosi provedbom mjere (preuzima se iz važećeg plana razvoja JLP(R)S).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b/>
          <w:b/>
          <w:bCs/>
          <w:sz w:val="24"/>
          <w:szCs w:val="24"/>
        </w:rPr>
      </w:pPr>
      <w:r>
        <w:rPr>
          <w:rFonts w:cs="Arial" w:ascii="Arial" w:hAnsi="Arial"/>
          <w:b/>
          <w:bCs/>
          <w:sz w:val="24"/>
          <w:szCs w:val="24"/>
        </w:rPr>
        <w:t xml:space="preserve">(3) Program u proračunu JLP(R)S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Navesti šifru i naziv programa u proračunu JLS na kojima će biti planirana sredstva za provedbu navedenog posebnog cilja (preuzima se iz Plana razvoja JLP(R)S, odnosno Akcijskog plana za provedbu plana razvoja JLP(R)S). </w:t>
      </w:r>
    </w:p>
    <w:p>
      <w:pPr>
        <w:pStyle w:val="Normal"/>
        <w:bidi w:val="0"/>
        <w:spacing w:lineRule="auto" w:line="276" w:before="0" w:after="0"/>
        <w:jc w:val="both"/>
        <w:rPr>
          <w:rFonts w:ascii="Arial" w:hAnsi="Arial" w:cs="Arial"/>
          <w:b/>
          <w:b/>
          <w:bCs/>
          <w:sz w:val="24"/>
          <w:szCs w:val="24"/>
        </w:rPr>
      </w:pPr>
      <w:r>
        <w:rPr>
          <w:rFonts w:cs="Arial" w:ascii="Arial" w:hAnsi="Arial"/>
          <w:b/>
          <w:bCs/>
          <w:sz w:val="24"/>
          <w:szCs w:val="24"/>
        </w:rPr>
        <w:t xml:space="preserve">(4) Naziv mjere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Unijeti naziv mjere (obavezno unijeti mjere iz nadležnosti JLS utvrđene u Akcijskom planu za provedbu plana razvoja JLP(R)S).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b/>
          <w:b/>
          <w:bCs/>
          <w:sz w:val="24"/>
          <w:szCs w:val="24"/>
        </w:rPr>
      </w:pPr>
      <w:r>
        <w:rPr>
          <w:rFonts w:cs="Arial" w:ascii="Arial" w:hAnsi="Arial"/>
          <w:b/>
          <w:bCs/>
          <w:sz w:val="24"/>
          <w:szCs w:val="24"/>
        </w:rPr>
        <w:t xml:space="preserve">(5) Svrha provedbe mjere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Ukratko opisati svrhu provedbe mjere, odnosno način na koji će provedba mjere doprinijeti ostvarenju povezanog posebnog cilja.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b/>
          <w:b/>
          <w:bCs/>
          <w:sz w:val="24"/>
          <w:szCs w:val="24"/>
        </w:rPr>
      </w:pPr>
      <w:r>
        <w:rPr>
          <w:rFonts w:cs="Arial" w:ascii="Arial" w:hAnsi="Arial"/>
          <w:b/>
          <w:bCs/>
          <w:sz w:val="24"/>
          <w:szCs w:val="24"/>
        </w:rPr>
        <w:t xml:space="preserve">(6) Procijenjeni trošak provedbe mjere (u EUR)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Unijeti podatak o ukupno procijenjenom trošku za cjelokupno razdoblje provedbe mjere.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b/>
          <w:b/>
          <w:bCs/>
          <w:sz w:val="24"/>
          <w:szCs w:val="24"/>
        </w:rPr>
      </w:pPr>
      <w:r>
        <w:rPr>
          <w:rFonts w:cs="Arial" w:ascii="Arial" w:hAnsi="Arial"/>
          <w:b/>
          <w:bCs/>
          <w:sz w:val="24"/>
          <w:szCs w:val="24"/>
        </w:rPr>
        <w:t xml:space="preserve">(7) Aktivnost/ projekt u proračunu JLS </w:t>
      </w:r>
    </w:p>
    <w:p>
      <w:pPr>
        <w:pStyle w:val="ListParagraph"/>
        <w:numPr>
          <w:ilvl w:val="0"/>
          <w:numId w:val="13"/>
        </w:numPr>
        <w:bidi w:val="0"/>
        <w:spacing w:lineRule="auto" w:line="276" w:before="0" w:after="0"/>
        <w:contextualSpacing/>
        <w:jc w:val="both"/>
        <w:rPr>
          <w:rFonts w:ascii="Arial" w:hAnsi="Arial" w:eastAsia="Times New Roman" w:cs="Arial"/>
          <w:bCs/>
          <w:sz w:val="24"/>
          <w:szCs w:val="24"/>
        </w:rPr>
      </w:pPr>
      <w:r>
        <w:rPr>
          <w:rFonts w:cs="Arial" w:ascii="Arial" w:hAnsi="Arial"/>
          <w:sz w:val="24"/>
          <w:szCs w:val="24"/>
        </w:rPr>
        <w:t>Navesti šifru i naziv stavke (aktivnosti ili projekta) u proračunu JLS na kojima će biti planirana sredstva za provedbu mjere.</w:t>
      </w:r>
    </w:p>
    <w:p>
      <w:pPr>
        <w:pStyle w:val="ListParagraph"/>
        <w:bidi w:val="0"/>
        <w:spacing w:lineRule="auto" w:line="276" w:before="0" w:after="0"/>
        <w:contextualSpacing/>
        <w:jc w:val="both"/>
        <w:rPr>
          <w:rFonts w:ascii="Arial" w:hAnsi="Arial" w:eastAsia="Times New Roman" w:cs="Arial"/>
          <w:bCs/>
          <w:sz w:val="24"/>
          <w:szCs w:val="24"/>
        </w:rPr>
      </w:pPr>
      <w:r>
        <w:rPr>
          <w:rFonts w:eastAsia="Times New Roman" w:cs="Arial" w:ascii="Arial" w:hAnsi="Arial"/>
          <w:bCs/>
          <w:sz w:val="24"/>
          <w:szCs w:val="24"/>
        </w:rPr>
      </w:r>
    </w:p>
    <w:p>
      <w:pPr>
        <w:pStyle w:val="Normal"/>
        <w:bidi w:val="0"/>
        <w:spacing w:lineRule="auto" w:line="276" w:before="0" w:after="0"/>
        <w:contextualSpacing/>
        <w:jc w:val="both"/>
        <w:rPr>
          <w:rFonts w:ascii="Arial" w:hAnsi="Arial" w:cs="Arial"/>
          <w:b/>
          <w:b/>
          <w:bCs/>
          <w:sz w:val="24"/>
          <w:szCs w:val="24"/>
        </w:rPr>
      </w:pPr>
      <w:r>
        <w:rPr>
          <w:rFonts w:cs="Arial" w:ascii="Arial" w:hAnsi="Arial"/>
          <w:b/>
          <w:bCs/>
          <w:sz w:val="24"/>
          <w:szCs w:val="24"/>
        </w:rPr>
        <w:t xml:space="preserve">(8) Nadležnost za provedbu mjere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Unijeti naziv upravnog odjela, ustanove/ pravne osobe JLP(R)S odgovorne za provedbu navedene mjere.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contextualSpacing/>
        <w:jc w:val="both"/>
        <w:rPr>
          <w:rFonts w:ascii="Arial" w:hAnsi="Arial" w:cs="Arial"/>
          <w:b/>
          <w:b/>
          <w:bCs/>
          <w:sz w:val="24"/>
          <w:szCs w:val="24"/>
        </w:rPr>
      </w:pPr>
      <w:r>
        <w:rPr>
          <w:rFonts w:cs="Arial" w:ascii="Arial" w:hAnsi="Arial"/>
          <w:b/>
          <w:bCs/>
          <w:sz w:val="24"/>
          <w:szCs w:val="24"/>
        </w:rPr>
        <w:t xml:space="preserve">(9) Oznaka mjere (R/I/O)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Unijeti odgovarajuću oznaku vrste mjere: R- reformska (provedba reforme); I- investicijska (provedba ulaganja); O- ostale mjere (obavljanje poslova iz samoupravnog djelokruga JLP(R)S).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contextualSpacing/>
        <w:jc w:val="both"/>
        <w:rPr>
          <w:rFonts w:ascii="Arial" w:hAnsi="Arial" w:cs="Arial"/>
          <w:sz w:val="24"/>
          <w:szCs w:val="24"/>
        </w:rPr>
      </w:pPr>
      <w:r>
        <w:rPr>
          <w:rFonts w:cs="Arial" w:ascii="Arial" w:hAnsi="Arial"/>
          <w:sz w:val="24"/>
          <w:szCs w:val="24"/>
        </w:rPr>
        <w:t>(</w:t>
      </w:r>
      <w:r>
        <w:rPr>
          <w:rFonts w:cs="Arial" w:ascii="Arial" w:hAnsi="Arial"/>
          <w:b/>
          <w:bCs/>
          <w:sz w:val="24"/>
          <w:szCs w:val="24"/>
        </w:rPr>
        <w:t>10) SDG (Cilj održivog razvoja)</w:t>
      </w:r>
      <w:r>
        <w:rPr>
          <w:rFonts w:cs="Arial" w:ascii="Arial" w:hAnsi="Arial"/>
          <w:sz w:val="24"/>
          <w:szCs w:val="24"/>
        </w:rPr>
        <w:t xml:space="preserve"> </w:t>
      </w:r>
    </w:p>
    <w:p>
      <w:pPr>
        <w:pStyle w:val="ListParagraph"/>
        <w:numPr>
          <w:ilvl w:val="0"/>
          <w:numId w:val="13"/>
        </w:numPr>
        <w:bidi w:val="0"/>
        <w:spacing w:lineRule="auto" w:line="276" w:before="0" w:after="0"/>
        <w:contextualSpacing/>
        <w:jc w:val="both"/>
        <w:rPr>
          <w:rFonts w:ascii="Arial" w:hAnsi="Arial" w:eastAsia="Times New Roman" w:cs="Arial"/>
          <w:bCs/>
          <w:sz w:val="24"/>
          <w:szCs w:val="24"/>
        </w:rPr>
      </w:pPr>
      <w:r>
        <w:rPr>
          <w:rFonts w:cs="Arial" w:ascii="Arial" w:hAnsi="Arial"/>
          <w:sz w:val="24"/>
          <w:szCs w:val="24"/>
        </w:rPr>
        <w:t>Navesti broj i naziv cilja održivog razvoja UN Agende 2030 kojem doprinosi provedba mjere (unesite oznaku - n/p ukoliko mjera ne doprinosi provedbi ciljeva održivog razvoja).</w:t>
      </w:r>
    </w:p>
    <w:p>
      <w:pPr>
        <w:pStyle w:val="ListParagraph"/>
        <w:bidi w:val="0"/>
        <w:spacing w:lineRule="auto" w:line="276" w:before="0" w:after="0"/>
        <w:contextualSpacing/>
        <w:jc w:val="both"/>
        <w:rPr>
          <w:rFonts w:ascii="Arial" w:hAnsi="Arial" w:eastAsia="Times New Roman" w:cs="Arial"/>
          <w:bCs/>
          <w:sz w:val="24"/>
          <w:szCs w:val="24"/>
        </w:rPr>
      </w:pPr>
      <w:r>
        <w:rPr>
          <w:rFonts w:eastAsia="Times New Roman" w:cs="Arial" w:ascii="Arial" w:hAnsi="Arial"/>
          <w:bCs/>
          <w:sz w:val="24"/>
          <w:szCs w:val="24"/>
        </w:rPr>
      </w:r>
    </w:p>
    <w:p>
      <w:pPr>
        <w:pStyle w:val="Normal"/>
        <w:bidi w:val="0"/>
        <w:spacing w:lineRule="auto" w:line="276" w:before="0" w:after="0"/>
        <w:contextualSpacing/>
        <w:jc w:val="both"/>
        <w:rPr>
          <w:rFonts w:ascii="Arial" w:hAnsi="Arial" w:cs="Arial"/>
          <w:b/>
          <w:b/>
          <w:bCs/>
          <w:sz w:val="24"/>
          <w:szCs w:val="24"/>
        </w:rPr>
      </w:pPr>
      <w:r>
        <w:rPr>
          <w:rFonts w:cs="Arial" w:ascii="Arial" w:hAnsi="Arial"/>
          <w:b/>
          <w:bCs/>
          <w:sz w:val="24"/>
          <w:szCs w:val="24"/>
        </w:rPr>
        <w:t xml:space="preserve">(11) Ključne aktivnosti za provedbu mjere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Navesti ključne aktivnosti s najvećim procijenjenim doprinosom provedbi mjere (preporuka je utvrditi najviše 5 ključnih aktivnosti za provedbu jedne mjere).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contextualSpacing/>
        <w:jc w:val="both"/>
        <w:rPr>
          <w:rFonts w:ascii="Arial" w:hAnsi="Arial" w:cs="Arial"/>
          <w:b/>
          <w:b/>
          <w:bCs/>
          <w:sz w:val="24"/>
          <w:szCs w:val="24"/>
        </w:rPr>
      </w:pPr>
      <w:r>
        <w:rPr>
          <w:rFonts w:cs="Arial" w:ascii="Arial" w:hAnsi="Arial"/>
          <w:b/>
          <w:bCs/>
          <w:sz w:val="24"/>
          <w:szCs w:val="24"/>
        </w:rPr>
        <w:t xml:space="preserve">(12) Planirani rok postignuća ključnih aktivnosti za provedbu mjere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Unijeti planirani rok postignuća svake pojedine ključne aktivnosti za provedbu mjere.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contextualSpacing/>
        <w:jc w:val="both"/>
        <w:rPr>
          <w:rFonts w:ascii="Arial" w:hAnsi="Arial" w:cs="Arial"/>
          <w:b/>
          <w:b/>
          <w:bCs/>
          <w:sz w:val="24"/>
          <w:szCs w:val="24"/>
        </w:rPr>
      </w:pPr>
      <w:r>
        <w:rPr>
          <w:rFonts w:cs="Arial" w:ascii="Arial" w:hAnsi="Arial"/>
          <w:b/>
          <w:bCs/>
          <w:sz w:val="24"/>
          <w:szCs w:val="24"/>
        </w:rPr>
        <w:t xml:space="preserve">(13) Rok provedbe mjere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Navesti rok (mjesec i godinu) do kojeg se planira završiti provedba mjere. </w:t>
      </w:r>
    </w:p>
    <w:p>
      <w:pPr>
        <w:pStyle w:val="Normal"/>
        <w:bidi w:val="0"/>
        <w:spacing w:lineRule="auto" w:line="276" w:before="0" w:after="0"/>
        <w:contextualSpacing/>
        <w:jc w:val="both"/>
        <w:rPr>
          <w:rFonts w:ascii="Arial" w:hAnsi="Arial" w:cs="Arial"/>
          <w:b/>
          <w:b/>
          <w:bCs/>
          <w:sz w:val="24"/>
          <w:szCs w:val="24"/>
        </w:rPr>
      </w:pPr>
      <w:r>
        <w:rPr>
          <w:rFonts w:cs="Arial" w:ascii="Arial" w:hAnsi="Arial"/>
          <w:b/>
          <w:bCs/>
          <w:sz w:val="24"/>
          <w:szCs w:val="24"/>
        </w:rPr>
        <w:t xml:space="preserve">(14) Pokazatelji rezultata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Navesti naziv pokazatelja rezultata definiranog u svrhu praćenja napretka u provedbi pojedine mjere (preporuka je definirati najviše 3 pokazatelja rezultata za praćenje napretka u provedbi jedne mjere).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jc w:val="both"/>
        <w:rPr>
          <w:rFonts w:ascii="Arial" w:hAnsi="Arial" w:cs="Arial"/>
          <w:b/>
          <w:b/>
          <w:bCs/>
          <w:sz w:val="24"/>
          <w:szCs w:val="24"/>
        </w:rPr>
      </w:pPr>
      <w:r>
        <w:rPr>
          <w:rFonts w:cs="Arial" w:ascii="Arial" w:hAnsi="Arial"/>
          <w:b/>
          <w:bCs/>
          <w:sz w:val="24"/>
          <w:szCs w:val="24"/>
        </w:rPr>
        <w:t xml:space="preserve">(15) Početna vrijednost pokazatelja rezultata </w:t>
      </w:r>
    </w:p>
    <w:p>
      <w:pPr>
        <w:pStyle w:val="ListParagraph"/>
        <w:numPr>
          <w:ilvl w:val="0"/>
          <w:numId w:val="13"/>
        </w:numPr>
        <w:bidi w:val="0"/>
        <w:spacing w:lineRule="auto" w:line="276" w:before="0" w:after="0"/>
        <w:contextualSpacing/>
        <w:jc w:val="both"/>
        <w:rPr>
          <w:rFonts w:ascii="Arial" w:hAnsi="Arial" w:cs="Arial"/>
          <w:sz w:val="24"/>
          <w:szCs w:val="24"/>
        </w:rPr>
      </w:pPr>
      <w:r>
        <w:rPr>
          <w:rFonts w:cs="Arial" w:ascii="Arial" w:hAnsi="Arial"/>
          <w:sz w:val="24"/>
          <w:szCs w:val="24"/>
        </w:rPr>
        <w:t xml:space="preserve">Unijeti početnu vrijednost pokazatelja rezultata. </w:t>
      </w:r>
    </w:p>
    <w:p>
      <w:pPr>
        <w:pStyle w:val="ListParagraph"/>
        <w:bidi w:val="0"/>
        <w:spacing w:lineRule="auto" w:line="276" w:before="0" w:after="0"/>
        <w:contextualSpacing/>
        <w:jc w:val="both"/>
        <w:rPr>
          <w:rFonts w:ascii="Arial" w:hAnsi="Arial" w:cs="Arial"/>
          <w:sz w:val="24"/>
          <w:szCs w:val="24"/>
        </w:rPr>
      </w:pPr>
      <w:r>
        <w:rPr>
          <w:rFonts w:cs="Arial" w:ascii="Arial" w:hAnsi="Arial"/>
          <w:sz w:val="24"/>
          <w:szCs w:val="24"/>
        </w:rPr>
      </w:r>
    </w:p>
    <w:p>
      <w:pPr>
        <w:pStyle w:val="Normal"/>
        <w:bidi w:val="0"/>
        <w:spacing w:lineRule="auto" w:line="276" w:before="0" w:after="0"/>
        <w:contextualSpacing/>
        <w:jc w:val="both"/>
        <w:rPr>
          <w:rFonts w:ascii="Arial" w:hAnsi="Arial" w:cs="Arial"/>
          <w:b/>
          <w:b/>
          <w:bCs/>
          <w:sz w:val="24"/>
          <w:szCs w:val="24"/>
        </w:rPr>
      </w:pPr>
      <w:r>
        <w:rPr>
          <w:rFonts w:cs="Arial" w:ascii="Arial" w:hAnsi="Arial"/>
          <w:b/>
          <w:bCs/>
          <w:sz w:val="24"/>
          <w:szCs w:val="24"/>
        </w:rPr>
        <w:t xml:space="preserve">(16-19) Ciljna vrijednost pokazatelja rezultata (2026. – 2029.) </w:t>
      </w:r>
    </w:p>
    <w:p>
      <w:pPr>
        <w:pStyle w:val="ListParagraph"/>
        <w:numPr>
          <w:ilvl w:val="0"/>
          <w:numId w:val="13"/>
        </w:numPr>
        <w:bidi w:val="0"/>
        <w:spacing w:lineRule="auto" w:line="276" w:before="0" w:after="0"/>
        <w:contextualSpacing/>
        <w:jc w:val="both"/>
        <w:rPr>
          <w:rFonts w:ascii="Arial" w:hAnsi="Arial" w:eastAsia="Times New Roman" w:cs="Arial"/>
          <w:bCs/>
          <w:sz w:val="24"/>
          <w:szCs w:val="24"/>
        </w:rPr>
      </w:pPr>
      <w:r>
        <w:rPr>
          <w:rFonts w:cs="Arial" w:ascii="Arial" w:hAnsi="Arial"/>
          <w:sz w:val="24"/>
          <w:szCs w:val="24"/>
        </w:rPr>
        <w:t>Unijeti ciljnu vrijednost za svaku pojedinu godinu provedbe mjere</w:t>
      </w:r>
    </w:p>
    <w:p>
      <w:pPr>
        <w:pStyle w:val="Normal"/>
        <w:bidi w:val="0"/>
        <w:spacing w:lineRule="auto" w:line="276" w:before="0" w:after="0"/>
        <w:contextualSpacing/>
        <w:jc w:val="both"/>
        <w:rPr>
          <w:rFonts w:ascii="Arial" w:hAnsi="Arial" w:cs="Arial"/>
          <w:b/>
          <w:b/>
          <w:bCs/>
          <w:sz w:val="24"/>
          <w:szCs w:val="24"/>
        </w:rPr>
      </w:pPr>
      <w:r>
        <w:rPr>
          <w:rFonts w:eastAsia="Times New Roman" w:cs="Arial" w:ascii="Arial" w:hAnsi="Arial"/>
          <w:sz w:val="24"/>
          <w:szCs w:val="24"/>
        </w:rPr>
        <w:t xml:space="preserve"> </w:t>
      </w:r>
    </w:p>
    <w:p>
      <w:pPr>
        <w:pStyle w:val="Normal"/>
        <w:bidi w:val="0"/>
        <w:spacing w:lineRule="auto" w:line="276" w:before="0" w:after="0"/>
        <w:contextualSpacing/>
        <w:jc w:val="both"/>
        <w:rPr>
          <w:rFonts w:ascii="Arial" w:hAnsi="Arial" w:cs="Arial"/>
          <w:b/>
          <w:b/>
          <w:bCs/>
          <w:sz w:val="24"/>
          <w:szCs w:val="24"/>
        </w:rPr>
      </w:pPr>
      <w:r>
        <w:rPr>
          <w:rFonts w:cs="Arial" w:ascii="Arial" w:hAnsi="Arial"/>
          <w:b/>
          <w:bCs/>
          <w:sz w:val="24"/>
          <w:szCs w:val="24"/>
        </w:rPr>
      </w:r>
    </w:p>
    <w:p>
      <w:pPr>
        <w:pStyle w:val="Normal"/>
        <w:bidi w:val="0"/>
        <w:spacing w:before="0" w:after="0"/>
        <w:jc w:val="center"/>
        <w:rPr>
          <w:b/>
          <w:b/>
          <w:bCs/>
        </w:rPr>
      </w:pPr>
      <w:r>
        <w:rPr>
          <w:rFonts w:cs="Times New Roman" w:ascii="Times New Roman" w:hAnsi="Times New Roman"/>
          <w:b/>
          <w:bCs/>
        </w:rPr>
        <w:t>OPĆINSKI NAČELNIK:</w:t>
      </w:r>
    </w:p>
    <w:p>
      <w:pPr>
        <w:pStyle w:val="Normal"/>
        <w:bidi w:val="0"/>
        <w:spacing w:before="0" w:after="0"/>
        <w:jc w:val="center"/>
        <w:rPr>
          <w:rFonts w:ascii="Arial" w:hAnsi="Arial"/>
          <w:b/>
          <w:b/>
          <w:bCs/>
          <w:sz w:val="24"/>
        </w:rPr>
      </w:pPr>
      <w:r>
        <w:rPr>
          <w:rFonts w:cs="Times New Roman" w:ascii="Times New Roman" w:hAnsi="Times New Roman"/>
        </w:rPr>
        <w:t>Dušan Jeckov</w:t>
      </w:r>
    </w:p>
    <w:p>
      <w:pPr>
        <w:pStyle w:val="Normal"/>
        <w:bidi w:val="0"/>
        <w:jc w:val="center"/>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
    </w:p>
    <w:sectPr>
      <w:headerReference w:type="even" r:id="rId4"/>
      <w:headerReference w:type="default" r:id="rId5"/>
      <w:type w:val="nextPage"/>
      <w:pgSz w:w="11906" w:h="16838"/>
      <w:pgMar w:left="1134" w:right="1134" w:gutter="0" w:header="1134" w:top="1693"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Bahnschrift">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bidi w:val="0"/>
      <w:spacing w:lineRule="auto" w:line="480"/>
      <w:jc w:val="center"/>
      <w:rPr>
        <w:rFonts w:eastAsia="Times New Roman" w:cs="Times New Roman"/>
        <w:u w:val="single"/>
        <w:lang w:val="en-AU" w:eastAsia="hr-H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bidi w:val="0"/>
      <w:spacing w:lineRule="auto" w:line="480"/>
      <w:jc w:val="center"/>
      <w:rPr>
        <w:rFonts w:eastAsia="Times New Roman" w:cs="Times New Roman"/>
        <w:u w:val="single"/>
        <w:lang w:val="en-AU" w:eastAsia="hr-H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90"/>
  <w:defaultTabStop w:val="709"/>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r-HR" w:eastAsia="zh-CN" w:bidi="hi-IN"/>
    </w:rPr>
  </w:style>
  <w:style w:type="paragraph" w:styleId="Stilnaslova1">
    <w:name w:val="Heading 1"/>
    <w:basedOn w:val="Normal"/>
    <w:next w:val="Normal"/>
    <w:qFormat/>
    <w:pPr>
      <w:keepNext w:val="true"/>
      <w:numPr>
        <w:ilvl w:val="0"/>
        <w:numId w:val="2"/>
      </w:numPr>
      <w:outlineLvl w:val="0"/>
    </w:pPr>
    <w:rPr>
      <w:rFonts w:ascii="Times New Roman" w:hAnsi="Times New Roman" w:eastAsia="Times New Roman" w:cs="Times New Roman"/>
      <w:szCs w:val="20"/>
    </w:rPr>
  </w:style>
  <w:style w:type="paragraph" w:styleId="Stilnaslova2">
    <w:name w:val="Heading 2"/>
    <w:basedOn w:val="Normal"/>
    <w:next w:val="Normal"/>
    <w:qFormat/>
    <w:pPr>
      <w:keepNext w:val="true"/>
      <w:jc w:val="center"/>
      <w:outlineLvl w:val="1"/>
    </w:pPr>
    <w:rPr>
      <w:b/>
      <w:bCs/>
      <w:sz w:val="20"/>
    </w:rPr>
  </w:style>
  <w:style w:type="character" w:styleId="Internetskapoveznica">
    <w:name w:val="Hyperlink"/>
    <w:rPr>
      <w:color w:val="000080"/>
      <w:u w:val="single"/>
      <w:lang w:val="zxx" w:eastAsia="zxx" w:bidi="zxx"/>
    </w:rPr>
  </w:style>
  <w:style w:type="character" w:styleId="Indeksnapoveznica">
    <w:name w:val="Indeksna poveznica"/>
    <w:qFormat/>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Sadraj1">
    <w:name w:val="TOC 1"/>
    <w:basedOn w:val="Normal"/>
    <w:next w:val="Normal"/>
    <w:pPr>
      <w:spacing w:before="0" w:after="100"/>
    </w:pPr>
    <w:rPr/>
  </w:style>
  <w:style w:type="paragraph" w:styleId="Sadraj2">
    <w:name w:val="TOC 2"/>
    <w:basedOn w:val="Normal"/>
    <w:next w:val="Normal"/>
    <w:pPr>
      <w:spacing w:before="0" w:after="100"/>
      <w:ind w:left="220" w:hanging="0"/>
    </w:pPr>
    <w:rPr/>
  </w:style>
  <w:style w:type="paragraph" w:styleId="ListParagraph">
    <w:name w:val="List Paragraph"/>
    <w:basedOn w:val="Normal"/>
    <w:qFormat/>
    <w:pPr>
      <w:spacing w:before="0" w:after="0"/>
      <w:ind w:left="720" w:hanging="0"/>
      <w:contextualSpacing/>
    </w:pPr>
    <w:rPr/>
  </w:style>
  <w:style w:type="paragraph" w:styleId="Sadrajokvira">
    <w:name w:val="Sadržaj okvira"/>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LibreOffice/7.4.1.2$Windows_X86_64 LibreOffice_project/3c58a8f3a960df8bc8fd77b461821e42c061c5f0</Application>
  <AppVersion>15.0000</AppVersion>
  <Pages>26</Pages>
  <Words>5847</Words>
  <Characters>38314</Characters>
  <CharactersWithSpaces>43575</CharactersWithSpaces>
  <Paragraphs>586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2026-03-13T11:37:41Z</dcterms:created>
  <dc:creator/>
  <dc:description/>
  <dc:language>hr-HR</dc:language>
  <cp:lastModifiedBy/>
  <dcterms:modified xsi:type="dcterms:W3CDTF">2026-03-13T11:39:27Z</dcterms:modified>
  <cp:revision>1</cp:revision>
  <dc:subject/>
  <dc:title/>
</cp:coreProperties>
</file>