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hr-HR"/>
        </w:rPr>
        <w:tab/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>REPUBLIKA HRVATSKA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VUKOVARSKO-SRIJEMSKA ŽUPANIJA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OPĆINA NEGOSLAVCI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Općinski</w:t>
      </w:r>
      <w:r>
        <w:rPr>
          <w:b/>
          <w:color w:val="000000"/>
          <w:lang w:val="hr-HR"/>
        </w:rPr>
        <w:t xml:space="preserve"> načelnik</w:t>
      </w:r>
    </w:p>
    <w:p>
      <w:pPr>
        <w:pStyle w:val="Normal"/>
        <w:rPr>
          <w:color w:val="000000"/>
        </w:rPr>
      </w:pPr>
      <w:r>
        <w:rPr>
          <w:b/>
          <w:color w:val="000000"/>
          <w:lang w:val="hr-HR"/>
        </w:rPr>
        <w:t xml:space="preserve">KLASA: </w:t>
      </w:r>
      <w:r>
        <w:rPr>
          <w:bCs/>
          <w:color w:val="000000"/>
          <w:lang w:val="hr-HR"/>
        </w:rPr>
        <w:t>400-04/26-01/02</w:t>
      </w:r>
    </w:p>
    <w:p>
      <w:pPr>
        <w:pStyle w:val="Normal"/>
        <w:rPr>
          <w:color w:val="000000"/>
        </w:rPr>
      </w:pPr>
      <w:r>
        <w:rPr>
          <w:b/>
          <w:color w:val="000000"/>
          <w:lang w:val="hr-HR"/>
        </w:rPr>
        <w:t>URBROJ:</w:t>
      </w:r>
      <w:r>
        <w:rPr>
          <w:color w:val="000000"/>
          <w:lang w:val="hr-HR"/>
        </w:rPr>
        <w:t xml:space="preserve"> 2196-19-01-26-1</w:t>
      </w:r>
      <w:r>
        <w:rPr>
          <w:color w:val="000000"/>
          <w:lang w:val="hr-HR"/>
        </w:rPr>
        <w:t>4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 xml:space="preserve">Negoslavci, </w:t>
      </w:r>
      <w:r>
        <w:rPr>
          <w:b w:val="false"/>
          <w:bCs w:val="false"/>
          <w:color w:val="000000"/>
          <w:lang w:val="hr-HR"/>
        </w:rPr>
        <w:t>26</w:t>
      </w:r>
      <w:r>
        <w:rPr>
          <w:color w:val="000000"/>
          <w:lang w:val="hr-HR"/>
        </w:rPr>
        <w:t>. ožujka 2</w:t>
      </w:r>
      <w:r>
        <w:rPr>
          <w:lang w:val="hr-HR"/>
        </w:rPr>
        <w:t xml:space="preserve">025.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  <w:t>Na temelju članka 74. Zakona o komunalnom gospodarstvu („Narodne novine“ broj 68/18, 110/18, 32/20 i 145/24) i članka 32, stavka. 2., točke 2. Statuta Općine Negoslavci („Službeni glasnik Općine Negoslavci“ broj 04/25) Općinski načelnik dana</w:t>
      </w:r>
      <w:r>
        <w:rPr>
          <w:color w:val="000000"/>
          <w:lang w:val="hr-HR"/>
        </w:rPr>
        <w:t xml:space="preserve"> 26.03.</w:t>
      </w:r>
      <w:r>
        <w:rPr>
          <w:lang w:val="hr-HR"/>
        </w:rPr>
        <w:t>2026. godine donosi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IZVJEŠĆE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 xml:space="preserve"> </w:t>
      </w:r>
      <w:r>
        <w:rPr>
          <w:b/>
          <w:lang w:val="hr-HR"/>
        </w:rPr>
        <w:t>o izvršenju Programa održavanja komunalne infrastrukture za 2025. godinu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 xml:space="preserve">Članak 1. 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b/>
          <w:lang w:val="hr-HR"/>
        </w:rPr>
        <w:tab/>
      </w:r>
      <w:r>
        <w:rPr>
          <w:rFonts w:eastAsia="Calibri" w:cs="Times New Roman"/>
          <w:szCs w:val="24"/>
          <w:lang w:val="hr-HR"/>
        </w:rPr>
        <w:t xml:space="preserve">Utvrđuje se da je tijekom 2025. godine izvršen Program održavanja komunalne infrastrukture </w:t>
      </w:r>
      <w:r>
        <w:rPr>
          <w:rFonts w:eastAsia="Andale Sans UI"/>
          <w:iCs/>
          <w:szCs w:val="24"/>
          <w:lang w:eastAsia="ar-SA"/>
        </w:rPr>
        <w:t>za 2025. godinu</w:t>
      </w:r>
      <w:r>
        <w:rPr>
          <w:rFonts w:eastAsia="Calibri" w:cs="Times New Roman"/>
          <w:szCs w:val="24"/>
          <w:lang w:val="hr-HR"/>
        </w:rPr>
        <w:t>, kako slijedi.</w:t>
      </w:r>
    </w:p>
    <w:p>
      <w:pPr>
        <w:pStyle w:val="ListParagraph"/>
        <w:ind w:left="0" w:hanging="0"/>
        <w:jc w:val="both"/>
        <w:rPr>
          <w:lang w:val="hr-HR"/>
        </w:rPr>
      </w:pPr>
      <w:r>
        <w:rPr>
          <w:rFonts w:eastAsia="Calibri" w:cs="Times New Roman"/>
          <w:szCs w:val="24"/>
          <w:lang w:val="hr-HR"/>
        </w:rPr>
        <w:tab/>
        <w:t xml:space="preserve">Prikaz planiranih sredstava i </w:t>
      </w:r>
      <w:r>
        <w:rPr>
          <w:rFonts w:eastAsia="Calibri" w:cs="Times New Roman"/>
          <w:color w:val="000000" w:themeColor="text1"/>
          <w:szCs w:val="24"/>
          <w:lang w:val="hr-HR"/>
        </w:rPr>
        <w:t xml:space="preserve">ostvarenja plana: </w:t>
      </w:r>
      <w:r>
        <w:rPr>
          <w:lang w:val="hr-HR"/>
        </w:rPr>
        <w:t>prihod od komunalne naknade, prihod od naknade za korištenje javnih površina, kapitalna pomoć iz državnog proračuna – EU fondovi, prihod od Hrvatskih voda, prihod iz proračuna.</w:t>
      </w:r>
    </w:p>
    <w:p>
      <w:pPr>
        <w:pStyle w:val="Normal"/>
        <w:jc w:val="both"/>
        <w:rPr>
          <w:rFonts w:eastAsia="Calibri" w:cs="Times New Roman"/>
          <w:color w:val="000000" w:themeColor="text1"/>
          <w:szCs w:val="24"/>
          <w:lang w:val="hr-HR"/>
        </w:rPr>
      </w:pPr>
      <w:r>
        <w:rPr>
          <w:rFonts w:eastAsia="Calibri" w:cs="Times New Roman"/>
          <w:color w:val="000000" w:themeColor="text1"/>
          <w:szCs w:val="24"/>
          <w:lang w:val="hr-HR"/>
        </w:rPr>
        <w:t>.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2.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  <w:t>Prikaz planiranih i izvršenih sredstava iz Općinskog proračuna Općine Negoslavci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tbl>
      <w:tblPr>
        <w:tblStyle w:val="Reetkatablice"/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2155"/>
        <w:gridCol w:w="1982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b/>
                <w:b/>
                <w:i/>
                <w:i/>
                <w:iCs/>
                <w:lang w:val="hr-HR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2"/>
                <w:lang w:val="hr-HR" w:eastAsia="en-US" w:bidi="ar-SA"/>
              </w:rPr>
              <w:t>Održavanje nerazvrstanih cesta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b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4"/>
                <w:szCs w:val="22"/>
                <w:lang w:val="hr-HR" w:eastAsia="en-US" w:bidi="ar-SA"/>
              </w:rPr>
              <w:t>Tekuće održavanje nerazvrstanih cesta i čišćenje snijega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b/>
                <w:lang w:val="hr-HR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>5.840,00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>1.700,00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javnih površina na kojima nije dopušten promet motornim vozilima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4"/>
                <w:szCs w:val="22"/>
                <w:lang w:val="en-US" w:eastAsia="en-US" w:bidi="ar-SA"/>
              </w:rPr>
              <w:t>Sanacija pješačkih staza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b/>
                <w:lang w:val="hr-HR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 xml:space="preserve"> </w:t>
            </w:r>
            <w:r>
              <w:rPr>
                <w:b w:val="false"/>
                <w:bCs w:val="false"/>
                <w:color w:val="000000"/>
                <w:lang w:val="hr-HR"/>
              </w:rPr>
              <w:t>68.000,00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>66.566,50</w:t>
            </w:r>
          </w:p>
        </w:tc>
      </w:tr>
      <w:tr>
        <w:trPr>
          <w:trHeight w:val="199" w:hRule="atLeast"/>
        </w:trPr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Održavanje građevina javne odvodnje oborinskih voda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2"/>
                <w:lang w:val="en-US" w:eastAsia="en-US" w:bidi="ar-SA"/>
              </w:rPr>
              <w:t>8.000,00               0,00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</w:r>
          </w:p>
        </w:tc>
      </w:tr>
      <w:tr>
        <w:trPr>
          <w:trHeight w:val="199" w:hRule="atLeast"/>
        </w:trPr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javnih zelenih površina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iCs/>
              </w:rPr>
            </w:pPr>
            <w:r>
              <w:rPr>
                <w:rFonts w:eastAsia="Calibri" w:cs=""/>
                <w:iCs/>
                <w:kern w:val="0"/>
                <w:sz w:val="24"/>
                <w:szCs w:val="22"/>
                <w:lang w:val="en-US" w:eastAsia="en-US" w:bidi="ar-SA"/>
              </w:rPr>
              <w:t>Održavanje javnih površina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>10.000,00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lang w:val="hr-HR"/>
              </w:rPr>
              <w:t>6.404,00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građevina, uređaja i predmeta javne namjene</w:t>
            </w:r>
            <w:r>
              <w:rPr>
                <w:rFonts w:eastAsia="Calibri" w:cs=""/>
                <w:b w:val="false"/>
                <w:bCs w:val="false"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2"/>
                <w:lang w:val="en-US" w:eastAsia="en-US" w:bidi="ar-SA"/>
              </w:rPr>
              <w:t>8.000,00     0,00</w:t>
            </w:r>
          </w:p>
        </w:tc>
      </w:tr>
      <w:tr>
        <w:trPr/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groblja i krematorija unutar groblja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2"/>
                <w:lang w:val="en-US" w:eastAsia="en-US" w:bidi="ar-SA"/>
              </w:rPr>
              <w:t>Uređenje groblja i kapele na groblju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lang w:val="hr-HR"/>
              </w:rPr>
              <w:t>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Održavanje čistoće javnih površina   </w:t>
            </w:r>
            <w:r>
              <w:rPr>
                <w:b w:val="false"/>
                <w:bCs w:val="false"/>
                <w:i w:val="false"/>
                <w:iCs w:val="false"/>
                <w:color w:val="000000"/>
              </w:rPr>
              <w:t>0,00</w:t>
            </w:r>
            <w:r>
              <w:rPr>
                <w:b/>
                <w:bCs/>
                <w:i/>
                <w:iCs w:val="false"/>
                <w:color w:val="000000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i/>
                <w:i/>
              </w:rPr>
            </w:pPr>
            <w:r>
              <w:rPr>
                <w:rFonts w:eastAsia="Calibri" w:cs=""/>
                <w:b/>
                <w:bCs/>
                <w:i/>
                <w:kern w:val="0"/>
                <w:sz w:val="24"/>
                <w:szCs w:val="22"/>
                <w:lang w:val="en-US" w:eastAsia="en-US" w:bidi="ar-SA"/>
              </w:rPr>
              <w:t>Održavanje javne rasvjete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val="hr-HR"/>
              </w:rPr>
            </w:pPr>
            <w:r>
              <w:rPr>
                <w:b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4"/>
                <w:szCs w:val="22"/>
                <w:lang w:val="en-US" w:eastAsia="en-US" w:bidi="ar-SA"/>
              </w:rPr>
              <w:t>Upravljanje i održavanje javne rasvjete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iCs/>
              </w:rPr>
            </w:pPr>
            <w:r>
              <w:rPr>
                <w:b/>
                <w:iCs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lang w:val="hr-HR"/>
              </w:rPr>
              <w:t>500,00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458,45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2"/>
                <w:lang w:val="en-US" w:eastAsia="en-US" w:bidi="ar-SA"/>
              </w:rPr>
              <w:t>Podmirenje troškova električne energije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hr-HR"/>
              </w:rPr>
              <w:t>11.000,00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10.560,91</w:t>
            </w:r>
          </w:p>
        </w:tc>
      </w:tr>
      <w:tr>
        <w:trPr/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9. Sanacija divljih odlagališta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Divlja deponija Grabovo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Usluge čišćenja divljih deponija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</w:rPr>
              <w:t>10. Dezinsekcija, dezinsekcija i deratizacija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Dezinsekcija komaraca i stršljenova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8.000,00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6.407,90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Deratizacija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4.522,50</w:t>
            </w:r>
          </w:p>
        </w:tc>
      </w:tr>
      <w:tr>
        <w:trPr/>
        <w:tc>
          <w:tcPr>
            <w:tcW w:w="934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</w:rPr>
              <w:t>11. Neškodljivo uklanjanje lešina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Animalni otpad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633,15</w:t>
            </w:r>
          </w:p>
        </w:tc>
      </w:tr>
      <w:tr>
        <w:trPr/>
        <w:tc>
          <w:tcPr>
            <w:tcW w:w="52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hr-HR"/>
              </w:rPr>
              <w:t>125.340,00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97.253,41</w:t>
            </w:r>
          </w:p>
        </w:tc>
      </w:tr>
    </w:tbl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3.</w:t>
      </w:r>
    </w:p>
    <w:p>
      <w:pPr>
        <w:pStyle w:val="Normal"/>
        <w:jc w:val="both"/>
        <w:rPr>
          <w:szCs w:val="24"/>
        </w:rPr>
      </w:pPr>
      <w:r>
        <w:rPr>
          <w:b/>
          <w:lang w:val="hr-HR"/>
        </w:rPr>
        <w:tab/>
      </w:r>
      <w:r>
        <w:rPr>
          <w:szCs w:val="24"/>
        </w:rPr>
        <w:t>Suglasno zakonskim obvezama ovaj Izvještaj se dostavlja Općinskom vijeću na razmatranje i odlučivanje.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Članak 4.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Izvješće će se objaviti u Službenom glasniku Općine Negoslavci i na internet stranici Općine Negoslavci.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right"/>
        <w:rPr>
          <w:b/>
          <w:b/>
          <w:lang w:val="hr-HR"/>
        </w:rPr>
      </w:pPr>
      <w:r>
        <w:rPr>
          <w:b/>
          <w:lang w:val="hr-HR"/>
        </w:rPr>
        <w:t>OPĆINSKI NAČELNIK</w:t>
      </w:r>
    </w:p>
    <w:p>
      <w:pPr>
        <w:pStyle w:val="Normal"/>
        <w:jc w:val="right"/>
        <w:rPr>
          <w:lang w:val="hr-HR"/>
        </w:rPr>
      </w:pPr>
      <w:r>
        <w:rPr>
          <w:lang w:val="hr-HR"/>
        </w:rPr>
        <w:t>Dušan Jeckov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lang w:val="hr-HR"/>
        </w:rPr>
        <w:t>OBRAZLOŽENJE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  <w:t>Sukladno članku 74., stavku 1. Zakona o komunalnom gospodarstvu („Narodne novine“ broj 68/18, 110/18, 32/20 i 145/24), propisana je obveza Općinskog načelnika da godišnje podnosi izvješće o izvršenju programa održavanja komunalne infrastrukture Općinskom vijeću vlastite jedinice. Izvješće se podnosi istodobno sa izvješćem o izvršenju proračuna te se objavljuje u službenom glasniku JLS, sukladno članku 74., stavku 2. i 3. Zakona o komunalnom gospodarstvu.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Prema Programu Općine Negoslavci o održavanju komunalne infrastrukture za 2025. godinu („Službeni glasnik Općine Negoslavci“ broj 9/24, 5/25 i 12/25) (u daljem tekstu: Program), bilo je planirano izdvajanje po slijedećim stavkama: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ListParagraph"/>
        <w:ind w:left="0" w:hanging="0"/>
        <w:jc w:val="both"/>
        <w:rPr>
          <w:color w:val="000000"/>
        </w:rPr>
      </w:pPr>
      <w:r>
        <w:rPr>
          <w:color w:val="000000"/>
          <w:lang w:val="hr-HR"/>
        </w:rPr>
        <w:t>1. Prema Programu je planirano za Održavanje nerazvrstanih cesta (sanacija i tekuće održavanje) ukupno 5.840,00</w:t>
      </w:r>
      <w:r>
        <w:rPr>
          <w:iCs/>
          <w:color w:val="000000"/>
          <w:lang w:val="hr-HR"/>
        </w:rPr>
        <w:t xml:space="preserve"> EUR, </w:t>
      </w:r>
      <w:r>
        <w:rPr>
          <w:color w:val="000000"/>
          <w:lang w:val="hr-HR"/>
        </w:rPr>
        <w:t xml:space="preserve">a prema Izvješću o izvršenju Programa održavanja komunalne infrastrukture za 2025. godinu (u daljem tekstu: Izvršenje) je utrošeno ukupno 1.700,00 EUR. 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2. Prema Programu je planirano za Održavanje javnih površina na kojima nije dopušten promet motornim vozilima ukupno 68.000,00 EUR i stavku Sanacija pješačkih staza 68.000,00 EUR. Prema Izvršenju je utrošeno ukupno 66.566,50</w:t>
      </w:r>
      <w:r>
        <w:rPr>
          <w:b w:val="false"/>
          <w:bCs w:val="false"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3. Prema Programu je planirano za Održavanje građevina javne odvodnje oborinskih voda ukupno 8.000,00 EUR, a prema Izvršenju je utrošeno ukupno 0,00 EUR.  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4. Prema Programu je planirano za Održavanje javnih zelenih površina </w:t>
      </w:r>
      <w:r>
        <w:rPr>
          <w:b w:val="false"/>
          <w:bCs w:val="false"/>
          <w:color w:val="000000"/>
          <w:lang w:val="hr-HR"/>
        </w:rPr>
        <w:t>10.000,00</w:t>
      </w:r>
      <w:r>
        <w:rPr>
          <w:color w:val="000000"/>
          <w:lang w:val="hr-HR"/>
        </w:rPr>
        <w:t xml:space="preserve"> EUR a prema Izvršenju je utrošeno 6.404,00</w:t>
      </w:r>
      <w:r>
        <w:rPr>
          <w:bCs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Pod održavanjem javnih zelenih površina podrazumijeva se košnja, obrezivanje, sakupljanje biološkog otpada s javnih zelenih površina, obnova, održavanje i njega drveća, ukrasnog grmlja i drugog bilja, popločenih površina i površina u parkovima, fitosanitarna zaštita bilja i biljnog materijala za potrebe održavanja i drugi poslovi potrebni za održavanje tih površina.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  <w:t>5. Prema Programu održavanja građevina, uređaja i predmeta javne namjene predviđeno je ukupno 8.000,00  EUR, a prema Izvršenju je utrošeno 0,00 EUR.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6. Prema Programu je planirano za održavanje groblja i kapele unutar groblja ukupno 0,00</w:t>
      </w:r>
      <w:r>
        <w:rPr>
          <w:iCs/>
          <w:color w:val="000000"/>
        </w:rPr>
        <w:t xml:space="preserve"> EUR, </w:t>
      </w:r>
      <w:r>
        <w:rPr>
          <w:color w:val="000000"/>
          <w:lang w:val="hr-HR"/>
        </w:rPr>
        <w:t>a prema Izvršenju je utrošeno 0,00</w:t>
      </w:r>
      <w:r>
        <w:rPr>
          <w:bCs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/>
        <w:t>7. Prema Programu je planirano za Održavanje čistoće javnih površina ukupno 0,00 EUR, a prema Izvršenju je utrošeno ukupno 0,00 EUR.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8. Prema Programu je planirano za Održavanje javne rasvjete – Upravljanje i održavanje javne rasvjete i Podmirenje troškova električne energije ukupno 11.500,00 EUR, a prema Izvršenju je utrošeno 11.019,36 EUR. Sredstva su 2025. godine uložena za tekuće održavanje javne rasvjete, i potrošnju električne energije.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9. Prema Programu je planirano za Sanaciju divljih odlagališta ukupno 0,00 EUR, a prema Izvršenju je utrošeno ukupno 0,00 EUR.</w:t>
      </w:r>
    </w:p>
    <w:p>
      <w:pPr>
        <w:pStyle w:val="Normal"/>
        <w:jc w:val="both"/>
        <w:rPr>
          <w:color w:val="BF0041"/>
        </w:rPr>
      </w:pPr>
      <w:r>
        <w:rPr>
          <w:color w:val="BF0041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10. Prema Programu je planirano za Dezinsekcija i deratizacija ukupno 13.000,00  EUR, a prema Izvršenju je utrošeno ukupno 10.930,40 EUR.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11. Prema Programu je planirano za Neškodljivo uklanjanje lešina ukupno 1.000,00 EUR , a prema Izvršenju je utrošeno ukupno 633,15 EUR.</w:t>
      </w:r>
    </w:p>
    <w:p>
      <w:pPr>
        <w:pStyle w:val="Normal"/>
        <w:jc w:val="both"/>
        <w:rPr>
          <w:color w:val="BF0041"/>
        </w:rPr>
      </w:pPr>
      <w:r>
        <w:rPr>
          <w:color w:val="BF0041"/>
        </w:rPr>
      </w:r>
    </w:p>
    <w:p>
      <w:pPr>
        <w:pStyle w:val="Normal"/>
        <w:jc w:val="both"/>
        <w:rPr>
          <w:color w:val="BF0041"/>
          <w:lang w:val="hr-HR"/>
        </w:rPr>
      </w:pPr>
      <w:r>
        <w:rPr>
          <w:color w:val="BF0041"/>
          <w:lang w:val="hr-HR"/>
        </w:rPr>
      </w:r>
    </w:p>
    <w:p>
      <w:pPr>
        <w:pStyle w:val="Normal"/>
        <w:jc w:val="both"/>
        <w:rPr>
          <w:color w:val="BF0041"/>
          <w:lang w:val="hr-HR"/>
        </w:rPr>
      </w:pPr>
      <w:r>
        <w:rPr>
          <w:color w:val="BF0041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</w:r>
    </w:p>
    <w:p>
      <w:pPr>
        <w:pStyle w:val="Normal"/>
        <w:rPr>
          <w:color w:val="000000"/>
        </w:rPr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1129449"/>
    </w:sdtPr>
    <w:sdtContent>
      <w:p>
        <w:pPr>
          <w:pStyle w:val="Podnoje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a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nojeChar" w:customStyle="1">
    <w:name w:val="Podnožje Char"/>
    <w:basedOn w:val="DefaultParagraphFont"/>
    <w:uiPriority w:val="99"/>
    <w:qFormat/>
    <w:rsid w:val="00d83a58"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8f7dfa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83a58"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uiPriority w:val="99"/>
    <w:unhideWhenUsed/>
    <w:rsid w:val="00d83a5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f7df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d83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0D63-3585-4F32-BB1A-4C4C61DF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LibreOffice/7.4.1.2$Windows_X86_64 LibreOffice_project/3c58a8f3a960df8bc8fd77b461821e42c061c5f0</Application>
  <AppVersion>15.0000</AppVersion>
  <Pages>4</Pages>
  <Words>729</Words>
  <Characters>4578</Characters>
  <CharactersWithSpaces>5280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2022-04-05T06:38:00Z</dcterms:created>
  <dc:creator>Korisnik</dc:creator>
  <dc:description/>
  <dc:language>hr-HR</dc:language>
  <cp:lastModifiedBy/>
  <cp:lastPrinted>2025-04-11T14:38:59Z</cp:lastPrinted>
  <dcterms:modified xsi:type="dcterms:W3CDTF">2026-05-07T14:43:43Z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